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E26A95" w:rsidP="0072541D">
          <w:pPr>
            <w:pStyle w:val="AmendDocName"/>
          </w:pPr>
          <w:customXml w:element="BillDocName">
            <w:r>
              <w:t xml:space="preserve">2484-S</w:t>
            </w:r>
          </w:customXml>
          <w:customXml w:element="AmendType">
            <w:r>
              <w:t xml:space="preserve"> AMH</w:t>
            </w:r>
          </w:customXml>
          <w:customXml w:element="SponsorAcronym">
            <w:r>
              <w:t xml:space="preserve"> HURS</w:t>
            </w:r>
          </w:customXml>
          <w:customXml w:element="DrafterAcronym">
            <w:r>
              <w:t xml:space="preserve"> ADAM</w:t>
            </w:r>
          </w:customXml>
          <w:customXml w:element="DraftNumber">
            <w:r>
              <w:t xml:space="preserve"> 085</w:t>
            </w:r>
          </w:customXml>
        </w:p>
      </w:customXml>
      <w:customXml w:element="Heading">
        <w:p w:rsidR="00DF5D0E" w:rsidRDefault="00E26A95">
          <w:customXml w:element="ReferenceNumber">
            <w:r w:rsidR="003733A8">
              <w:rPr>
                <w:b/>
                <w:u w:val="single"/>
              </w:rPr>
              <w:t>SHB 2484</w:t>
            </w:r>
            <w:r w:rsidR="00DE256E">
              <w:t xml:space="preserve"> - </w:t>
            </w:r>
          </w:customXml>
          <w:customXml w:element="Floor">
            <w:r w:rsidR="003733A8">
              <w:t>H AMD</w:t>
            </w:r>
          </w:customXml>
          <w:customXml w:element="AmendNumber">
            <w:r>
              <w:rPr>
                <w:b/>
              </w:rPr>
              <w:t xml:space="preserve"> 1057</w:t>
            </w:r>
          </w:customXml>
        </w:p>
        <w:p w:rsidR="00DF5D0E" w:rsidRDefault="00E26A95" w:rsidP="00605C39">
          <w:pPr>
            <w:ind w:firstLine="576"/>
          </w:pPr>
          <w:customXml w:element="Sponsors">
            <w:r>
              <w:t xml:space="preserve">By Representative Hurst</w:t>
            </w:r>
          </w:customXml>
        </w:p>
        <w:p w:rsidR="00DF5D0E" w:rsidRDefault="00E26A95" w:rsidP="00846034">
          <w:pPr>
            <w:spacing w:line="408" w:lineRule="exact"/>
            <w:jc w:val="right"/>
            <w:rPr>
              <w:b/>
              <w:bCs/>
            </w:rPr>
          </w:pPr>
          <w:customXml w:element="FloorAction">
            <w:r>
              <w:t xml:space="preserve">NOT CONSIDERED 3/11/2010</w:t>
            </w:r>
          </w:customXml>
        </w:p>
      </w:customXml>
      <w:permStart w:id="0" w:edGrp="everyone" w:displacedByCustomXml="next"/>
      <w:customXml w:element="Page">
        <w:p w:rsidR="003733A8" w:rsidRDefault="00E26A95" w:rsidP="00096165">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EB19AC">
            <w:t>Strike everything after the enacting clause and insert the following:</w:t>
          </w:r>
        </w:p>
        <w:p w:rsidR="00EB19AC" w:rsidRDefault="00EB19AC" w:rsidP="00EB19AC">
          <w:pPr>
            <w:pStyle w:val="BegSec-Amd"/>
          </w:pPr>
          <w:r>
            <w:t>"</w:t>
          </w:r>
          <w:r>
            <w:rPr>
              <w:b/>
            </w:rPr>
            <w:t xml:space="preserve">Sec. </w:t>
          </w:r>
          <w:r w:rsidR="00E26A95">
            <w:rPr>
              <w:b/>
            </w:rPr>
            <w:fldChar w:fldCharType="begin"/>
          </w:r>
          <w:r>
            <w:rPr>
              <w:b/>
            </w:rPr>
            <w:instrText xml:space="preserve"> LISTNUM  LegalDefault  </w:instrText>
          </w:r>
          <w:r w:rsidR="00E26A95">
            <w:rPr>
              <w:b/>
            </w:rPr>
            <w:fldChar w:fldCharType="end"/>
          </w:r>
          <w:r>
            <w:rPr>
              <w:b/>
            </w:rPr>
            <w:t xml:space="preserve">  </w:t>
          </w:r>
          <w:r>
            <w:t>RCW 59.18.200 and 2008 c 113 s 4 are each amended to read as follows:</w:t>
          </w:r>
        </w:p>
        <w:p w:rsidR="00EB19AC" w:rsidRDefault="00EB19AC" w:rsidP="00EB19AC">
          <w:pPr>
            <w:pStyle w:val="RCWSLText"/>
          </w:pPr>
          <w:r>
            <w:tab/>
            <w:t>(1)(a) When premises are rented for an indefinite time, with monthly or other periodic rent reserved, such tenancy shall be construed to be a tenancy from month to month, or from period to period on which rent is payable, and ((</w:t>
          </w:r>
          <w:r>
            <w:rPr>
              <w:strike/>
            </w:rPr>
            <w:t>shall be terminated by written notice of twenty days or more, preceding the end of any of the months or periods of tenancy, given by either party to the other.</w:t>
          </w:r>
          <w:r>
            <w:br/>
          </w:r>
          <w:r>
            <w:rPr>
              <w:strike/>
            </w:rPr>
            <w:tab/>
            <w:t>(b)</w:t>
          </w:r>
          <w:r>
            <w:t xml:space="preserve">)) </w:t>
          </w:r>
          <w:r>
            <w:rPr>
              <w:u w:val="single"/>
            </w:rPr>
            <w:t>may not be terminated unless the landlord or tenant gives written notice of his or her intention to terminate the tenancy under this section or as allowed under RCW 59.12.030 (3), (4), (5), or (7).</w:t>
          </w:r>
          <w:r>
            <w:br/>
          </w:r>
          <w:r w:rsidRPr="0020320E">
            <w:tab/>
          </w:r>
          <w:r>
            <w:rPr>
              <w:u w:val="single"/>
            </w:rPr>
            <w:t xml:space="preserve">(b) A tenant may terminate a </w:t>
          </w:r>
          <w:r w:rsidR="00A57744">
            <w:rPr>
              <w:u w:val="single"/>
            </w:rPr>
            <w:t>tenancy</w:t>
          </w:r>
          <w:r>
            <w:rPr>
              <w:u w:val="single"/>
            </w:rPr>
            <w:t xml:space="preserve"> by written notice of thirty days or more prior to the proposed termination date or as otherwise permitted by law or the terms and conditions of the tenant's rental agreement.</w:t>
          </w:r>
          <w:r>
            <w:br/>
          </w:r>
          <w:r w:rsidR="000E06F9" w:rsidRPr="000E06F9">
            <w:tab/>
          </w:r>
          <w:r>
            <w:rPr>
              <w:u w:val="single"/>
            </w:rPr>
            <w:t>(c)</w:t>
          </w:r>
          <w:r>
            <w:t xml:space="preserve"> Any tenant who is a member of the armed forces, including the national guard and armed forces reserves, or that tenant's spouse or dependant, may terminate a rental agreement with less than ((</w:t>
          </w:r>
          <w:r>
            <w:rPr>
              <w:strike/>
            </w:rPr>
            <w:t>twenty</w:t>
          </w:r>
          <w:r>
            <w:t xml:space="preserve">)) </w:t>
          </w:r>
          <w:r>
            <w:rPr>
              <w:u w:val="single"/>
            </w:rPr>
            <w:t>thirty</w:t>
          </w:r>
          <w:r>
            <w:t xml:space="preserve"> days' notice if the tenant receives reassignment or deployment orders that do not allow a ((</w:t>
          </w:r>
          <w:r>
            <w:rPr>
              <w:strike/>
            </w:rPr>
            <w:t>twenty-day</w:t>
          </w:r>
          <w:r>
            <w:t xml:space="preserve">)) </w:t>
          </w:r>
          <w:r>
            <w:rPr>
              <w:u w:val="single"/>
            </w:rPr>
            <w:t>thirty-day</w:t>
          </w:r>
          <w:r>
            <w:t xml:space="preserve"> notice.</w:t>
          </w:r>
        </w:p>
        <w:p w:rsidR="00EB19AC" w:rsidRDefault="00A57744" w:rsidP="00EB19AC">
          <w:pPr>
            <w:pStyle w:val="RCWSLText"/>
          </w:pPr>
          <w:r w:rsidRPr="00A57744">
            <w:tab/>
          </w:r>
          <w:r w:rsidR="00EB19AC">
            <w:rPr>
              <w:u w:val="single"/>
            </w:rPr>
            <w:t xml:space="preserve">(d) Any tenant who has been served with a thirty-day written notice under RCW 59.18.140 announcing a new rule of tenancy, including a change in the amount of rent, may terminate a </w:t>
          </w:r>
          <w:r>
            <w:rPr>
              <w:u w:val="single"/>
            </w:rPr>
            <w:t>tenancy</w:t>
          </w:r>
          <w:r w:rsidR="00EB19AC">
            <w:rPr>
              <w:u w:val="single"/>
            </w:rPr>
            <w:t xml:space="preserve"> by written notice of twenty days or more, preceding the effective date of the new </w:t>
          </w:r>
          <w:r w:rsidR="00EB19AC">
            <w:rPr>
              <w:u w:val="single"/>
            </w:rPr>
            <w:lastRenderedPageBreak/>
            <w:t>rule.</w:t>
          </w:r>
          <w:r w:rsidR="00EB19AC">
            <w:br/>
            <w:t xml:space="preserve"> </w:t>
          </w:r>
          <w:r w:rsidR="00EB19AC">
            <w:tab/>
            <w:t xml:space="preserve">(2)(a) </w:t>
          </w:r>
          <w:r w:rsidR="00EB19AC">
            <w:rPr>
              <w:u w:val="single"/>
            </w:rPr>
            <w:t xml:space="preserve">A landlord may terminate a </w:t>
          </w:r>
          <w:r>
            <w:rPr>
              <w:u w:val="single"/>
            </w:rPr>
            <w:t>tenancy</w:t>
          </w:r>
          <w:r w:rsidR="00EB19AC">
            <w:rPr>
              <w:u w:val="single"/>
            </w:rPr>
            <w:t xml:space="preserve"> by written notice of thirty days or more prior to the proposed date of termination except as prohibited by law or the terms and conditions of the tenant's rental agreement.</w:t>
          </w:r>
          <w:r w:rsidR="00EB19AC">
            <w:br/>
          </w:r>
          <w:r w:rsidR="00EB19AC" w:rsidRPr="00A57744">
            <w:tab/>
          </w:r>
          <w:r w:rsidR="00EB19AC">
            <w:rPr>
              <w:u w:val="single"/>
            </w:rPr>
            <w:t>(b) A landlord who is prohibited by federal, state, or local law from terminating a tenancy, except for serious or repeated violations of material terms of the rental agreement or other good cause, may terminate a rental agreement by written notice of thirty days or more prior to the proposed date of termination or as allowed under RCW 59.12.030 (3), (4), (5), or (7).</w:t>
          </w:r>
          <w:r w:rsidR="00EB19AC">
            <w:br/>
          </w:r>
          <w:r w:rsidR="00EB19AC" w:rsidRPr="00A57744">
            <w:tab/>
          </w:r>
          <w:r w:rsidR="00EB19AC">
            <w:rPr>
              <w:u w:val="single"/>
            </w:rPr>
            <w:t>(</w:t>
          </w:r>
          <w:r>
            <w:rPr>
              <w:u w:val="single"/>
            </w:rPr>
            <w:t>c</w:t>
          </w:r>
          <w:r w:rsidR="00EB19AC">
            <w:rPr>
              <w:u w:val="single"/>
            </w:rPr>
            <w:t>)</w:t>
          </w:r>
          <w:r w:rsidR="00EB19AC">
            <w:t xml:space="preserve"> Whenever a landlord plans to change </w:t>
          </w:r>
          <w:r>
            <w:t>((</w:t>
          </w:r>
          <w:r w:rsidR="00EB19AC" w:rsidRPr="00A57744">
            <w:rPr>
              <w:strike/>
            </w:rPr>
            <w:t>to</w:t>
          </w:r>
          <w:r>
            <w:t>))</w:t>
          </w:r>
          <w:r w:rsidR="00EB19AC">
            <w:t xml:space="preserve"> a policy of excluding children, the landlord shall give a written notice to a tenant at least ninety days before termination of the tenancy to effectuate such change in policy.  Such ninety-day notice shall be in lieu of the notice required by subsection </w:t>
          </w:r>
          <w:r w:rsidR="004B7490">
            <w:t>((</w:t>
          </w:r>
          <w:r w:rsidR="00EB19AC" w:rsidRPr="004B7490">
            <w:rPr>
              <w:strike/>
            </w:rPr>
            <w:t>(1)</w:t>
          </w:r>
          <w:r w:rsidR="004B7490">
            <w:t xml:space="preserve">)) </w:t>
          </w:r>
          <w:r w:rsidR="004B7490" w:rsidRPr="004B7490">
            <w:rPr>
              <w:u w:val="single"/>
            </w:rPr>
            <w:t>(2)</w:t>
          </w:r>
          <w:r w:rsidR="00EB19AC">
            <w:t xml:space="preserve"> of this section.  However, if after giving the ninety-day notice the change in policy is delayed, the notice requirements of subsection </w:t>
          </w:r>
          <w:r w:rsidR="004B7490">
            <w:t>((</w:t>
          </w:r>
          <w:r w:rsidR="00EB19AC" w:rsidRPr="004B7490">
            <w:rPr>
              <w:strike/>
            </w:rPr>
            <w:t>(1)</w:t>
          </w:r>
          <w:r w:rsidR="004B7490">
            <w:t xml:space="preserve">)) </w:t>
          </w:r>
          <w:r w:rsidR="004B7490">
            <w:rPr>
              <w:u w:val="single"/>
            </w:rPr>
            <w:t>(2)</w:t>
          </w:r>
          <w:r w:rsidR="00EB19AC">
            <w:t xml:space="preserve"> of this section shall apply unless waived by the tenant.</w:t>
          </w:r>
        </w:p>
        <w:p w:rsidR="00EB19AC" w:rsidRDefault="00EB19AC" w:rsidP="00EB19AC">
          <w:pPr>
            <w:pStyle w:val="RCWSLText"/>
          </w:pPr>
          <w:r>
            <w:tab/>
            <w:t>((</w:t>
          </w:r>
          <w:r>
            <w:rPr>
              <w:strike/>
            </w:rPr>
            <w:t>(b)</w:t>
          </w:r>
          <w:r>
            <w:t xml:space="preserve">)) </w:t>
          </w:r>
          <w:r w:rsidR="004B7490">
            <w:rPr>
              <w:u w:val="single"/>
            </w:rPr>
            <w:t>(d</w:t>
          </w:r>
          <w:r>
            <w:rPr>
              <w:u w:val="single"/>
            </w:rPr>
            <w:t>)</w:t>
          </w:r>
          <w:r>
            <w:t xml:space="preserve"> Whenever a landlord plans to change any apartment or apartments to a condominium form of ownership, the landlord shall provide a written notice to a tenant at least one hundred twenty days before termination of the tenancy, in compliance with RCW 64.34.440(1), to effectuate such change.  The one hundred twenty-day notice is in lieu of the notice required in subsection </w:t>
          </w:r>
          <w:r w:rsidR="004B7490">
            <w:t>((</w:t>
          </w:r>
          <w:r w:rsidRPr="004B7490">
            <w:rPr>
              <w:strike/>
            </w:rPr>
            <w:t>(1)</w:t>
          </w:r>
          <w:r w:rsidR="004B7490">
            <w:t xml:space="preserve">)) </w:t>
          </w:r>
          <w:r w:rsidR="004B7490" w:rsidRPr="004B7490">
            <w:rPr>
              <w:u w:val="single"/>
            </w:rPr>
            <w:t>(2)</w:t>
          </w:r>
          <w:r>
            <w:t xml:space="preserve"> of this section.  However, if after providing the one hundred twenty-day notice the change to a condominium form of ownership is delayed, the notice requirements in subsection </w:t>
          </w:r>
          <w:r w:rsidR="004B7490">
            <w:t>((</w:t>
          </w:r>
          <w:r w:rsidRPr="004B7490">
            <w:rPr>
              <w:strike/>
            </w:rPr>
            <w:t>(1)</w:t>
          </w:r>
          <w:r w:rsidR="004B7490">
            <w:t xml:space="preserve">)) </w:t>
          </w:r>
          <w:r w:rsidR="004B7490" w:rsidRPr="004B7490">
            <w:rPr>
              <w:u w:val="single"/>
            </w:rPr>
            <w:t>(2)</w:t>
          </w:r>
          <w:r>
            <w:t xml:space="preserve"> of this section apply unless waived by the tenant.</w:t>
          </w:r>
        </w:p>
        <w:p w:rsidR="00EB19AC" w:rsidRDefault="00F90DD5" w:rsidP="00EB19AC">
          <w:pPr>
            <w:pStyle w:val="RCWSLText"/>
          </w:pPr>
          <w:r w:rsidRPr="00F90DD5">
            <w:tab/>
          </w:r>
          <w:r w:rsidR="00EB19AC">
            <w:rPr>
              <w:u w:val="single"/>
            </w:rPr>
            <w:t xml:space="preserve">(3)(a) When either a landlord or tenant terminates a </w:t>
          </w:r>
          <w:r w:rsidR="0086663D">
            <w:rPr>
              <w:u w:val="single"/>
            </w:rPr>
            <w:t>tenancy</w:t>
          </w:r>
          <w:r w:rsidR="00EB19AC">
            <w:rPr>
              <w:u w:val="single"/>
            </w:rPr>
            <w:t xml:space="preserve"> other than at the end of the agreed upon rental period, the parties shall prorate the rent for the partial rental period, and such prorated rent is due as provided for in the rental agreement.  When the tenant has prepaid the rent, the tenant is entitled to the pro rata refund of any </w:t>
          </w:r>
          <w:r w:rsidR="00EB19AC">
            <w:rPr>
              <w:u w:val="single"/>
            </w:rPr>
            <w:lastRenderedPageBreak/>
            <w:t>prepaid rent.</w:t>
          </w:r>
          <w:r w:rsidR="00EB19AC">
            <w:br/>
          </w:r>
          <w:r w:rsidR="00EB19AC" w:rsidRPr="0086663D">
            <w:tab/>
          </w:r>
          <w:r w:rsidR="00EB19AC">
            <w:rPr>
              <w:u w:val="single"/>
            </w:rPr>
            <w:t xml:space="preserve">(b) A landlord may not terminate a </w:t>
          </w:r>
          <w:r w:rsidR="0086663D">
            <w:rPr>
              <w:u w:val="single"/>
            </w:rPr>
            <w:t>tenancy</w:t>
          </w:r>
          <w:r w:rsidR="00EB19AC">
            <w:rPr>
              <w:u w:val="single"/>
            </w:rPr>
            <w:t xml:space="preserve"> other than at the end of the agreed upon rental period unless the landlord refunds any prepaid rent paid in excess of the pro rata rent due within ten days of service of the notice of termination.  All moneys designated as a damage or security deposit in a rental agreement must be retained or refunded in accordance with the requirements of RCW 59.18.280.</w:t>
          </w:r>
          <w:r w:rsidR="00EB19AC">
            <w:br/>
          </w:r>
          <w:r w:rsidR="00EB19AC" w:rsidRPr="0086663D">
            <w:tab/>
          </w:r>
          <w:r w:rsidR="00EB19AC">
            <w:rPr>
              <w:u w:val="single"/>
            </w:rPr>
            <w:t>(4) A landlord shall serve any notice required under this section in the manner required in RCW 59.12.040.</w:t>
          </w:r>
          <w:r w:rsidR="00EB19AC">
            <w:br/>
          </w:r>
          <w:r w:rsidR="00EB19AC" w:rsidRPr="0086663D">
            <w:tab/>
          </w:r>
          <w:r w:rsidR="00EB19AC">
            <w:rPr>
              <w:u w:val="single"/>
            </w:rPr>
            <w:t>(5) A tenant who holds over or continues in possession, in person or by subtenant, of a dwelling unit or premises after the termination of his or her tenancy in accordance with this section is guilty of unlawful detainer, and the landlord has a right to obtain possession of the real property by summary proceedings as provided in chapter 59.12 RCW and this chapter.</w:t>
          </w:r>
          <w:r w:rsidR="00EB19AC" w:rsidRPr="00EB19AC">
            <w:t>"</w:t>
          </w:r>
        </w:p>
        <w:p w:rsidR="008925A7" w:rsidRPr="00EB19AC" w:rsidRDefault="008925A7" w:rsidP="00EB19AC">
          <w:pPr>
            <w:pStyle w:val="RCWSLText"/>
          </w:pPr>
        </w:p>
        <w:p w:rsidR="00DF5D0E" w:rsidRPr="00523C5A" w:rsidRDefault="00E26A95" w:rsidP="003733A8">
          <w:pPr>
            <w:pStyle w:val="RCWSLText"/>
            <w:suppressLineNumbers/>
          </w:pPr>
        </w:p>
      </w:customXml>
      <w:customXml w:element="Effect">
        <w:p w:rsidR="00ED2EEB" w:rsidRDefault="00DE256E" w:rsidP="003733A8">
          <w:pPr>
            <w:pStyle w:val="Effect"/>
            <w:suppressLineNumbers/>
          </w:pPr>
          <w:r>
            <w:tab/>
          </w:r>
        </w:p>
        <w:p w:rsidR="00EC429F" w:rsidRPr="00EC429F" w:rsidRDefault="00ED2EEB" w:rsidP="00EC429F">
          <w:pPr>
            <w:pStyle w:val="Effect"/>
            <w:rPr>
              <w:spacing w:val="0"/>
            </w:rPr>
          </w:pPr>
          <w:r>
            <w:tab/>
          </w:r>
          <w:r w:rsidR="00DE256E">
            <w:tab/>
          </w:r>
          <w:r w:rsidR="00DE256E" w:rsidRPr="003733A8">
            <w:rPr>
              <w:b/>
              <w:u w:val="single"/>
            </w:rPr>
            <w:t>EFFECT:</w:t>
          </w:r>
          <w:r w:rsidR="00DE256E">
            <w:t>  </w:t>
          </w:r>
          <w:r w:rsidR="00DE256E" w:rsidRPr="00EC429F">
            <w:rPr>
              <w:spacing w:val="0"/>
            </w:rPr>
            <w:t> </w:t>
          </w:r>
          <w:r w:rsidR="00EC429F" w:rsidRPr="00EC429F">
            <w:rPr>
              <w:spacing w:val="0"/>
            </w:rPr>
            <w:t xml:space="preserve">A periodic tenancy may be terminated on any day of the month with at least 30 days prior notice by either the landlord or the tenant.  </w:t>
          </w:r>
          <w:r w:rsidR="00EC429F">
            <w:rPr>
              <w:spacing w:val="0"/>
            </w:rPr>
            <w:t xml:space="preserve">(The substitute bill requires 30-day notice prior to the end of the </w:t>
          </w:r>
          <w:r w:rsidR="00FA3CAA">
            <w:rPr>
              <w:spacing w:val="0"/>
            </w:rPr>
            <w:t>month</w:t>
          </w:r>
          <w:r w:rsidR="00EC429F">
            <w:rPr>
              <w:spacing w:val="0"/>
            </w:rPr>
            <w:t xml:space="preserve">.)  </w:t>
          </w:r>
          <w:r w:rsidR="00EC429F" w:rsidRPr="00EC429F">
            <w:rPr>
              <w:spacing w:val="0"/>
            </w:rPr>
            <w:t xml:space="preserve">A landlord who is prohibited by the rental agreement or </w:t>
          </w:r>
          <w:r w:rsidR="00A53787">
            <w:rPr>
              <w:spacing w:val="0"/>
            </w:rPr>
            <w:t>by law</w:t>
          </w:r>
          <w:r w:rsidR="00EC429F" w:rsidRPr="00EC429F">
            <w:rPr>
              <w:spacing w:val="0"/>
            </w:rPr>
            <w:t xml:space="preserve"> from terminating the tenancy without good cause may terminate a </w:t>
          </w:r>
          <w:r w:rsidR="00007284">
            <w:rPr>
              <w:spacing w:val="0"/>
            </w:rPr>
            <w:t>tenancy</w:t>
          </w:r>
          <w:r w:rsidR="00EC429F" w:rsidRPr="00EC429F">
            <w:rPr>
              <w:spacing w:val="0"/>
            </w:rPr>
            <w:t xml:space="preserve"> by written notice at least 30 days prior to the proposed termination date or as allowed under the unlawful detainer laws.</w:t>
          </w:r>
          <w:r w:rsidR="00EC429F">
            <w:rPr>
              <w:spacing w:val="0"/>
            </w:rPr>
            <w:t xml:space="preserve">  A</w:t>
          </w:r>
          <w:r w:rsidR="00EC429F">
            <w:t xml:space="preserve"> landlord must prorate rent and refund any prepaid rent when the tenancy is terminated other than at the end of the rental agreement.</w:t>
          </w:r>
          <w:r w:rsidR="00FA3CAA">
            <w:t xml:space="preserve">  A notice of termination by a landlord must </w:t>
          </w:r>
          <w:r w:rsidR="00007284">
            <w:t xml:space="preserve">be </w:t>
          </w:r>
          <w:r w:rsidR="00FA3CAA">
            <w:t>served as required under the unlawful detainer laws.</w:t>
          </w:r>
        </w:p>
        <w:p w:rsidR="00EC429F" w:rsidRPr="00EC429F" w:rsidRDefault="00EC429F" w:rsidP="00EC429F">
          <w:pPr>
            <w:pStyle w:val="Effect"/>
            <w:rPr>
              <w:spacing w:val="0"/>
            </w:rPr>
          </w:pPr>
        </w:p>
        <w:p w:rsidR="00DF5D0E" w:rsidRPr="003733A8" w:rsidRDefault="00A53787" w:rsidP="007F2914">
          <w:pPr>
            <w:pStyle w:val="Effect"/>
          </w:pPr>
          <w:r>
            <w:rPr>
              <w:spacing w:val="0"/>
            </w:rPr>
            <w:tab/>
          </w:r>
          <w:r>
            <w:rPr>
              <w:spacing w:val="0"/>
            </w:rPr>
            <w:tab/>
            <w:t xml:space="preserve">This </w:t>
          </w:r>
          <w:r w:rsidR="00EC429F" w:rsidRPr="00EC429F">
            <w:rPr>
              <w:spacing w:val="0"/>
            </w:rPr>
            <w:t xml:space="preserve">amendment makes the bill similar to the original bill, except that the amendment does not include the provision </w:t>
          </w:r>
          <w:r w:rsidR="000D2D18">
            <w:rPr>
              <w:spacing w:val="0"/>
            </w:rPr>
            <w:t>in</w:t>
          </w:r>
          <w:r>
            <w:rPr>
              <w:spacing w:val="0"/>
            </w:rPr>
            <w:t xml:space="preserve"> the original bill </w:t>
          </w:r>
          <w:r w:rsidR="000D2D18">
            <w:rPr>
              <w:spacing w:val="0"/>
            </w:rPr>
            <w:t xml:space="preserve">that </w:t>
          </w:r>
          <w:r w:rsidR="00EC429F" w:rsidRPr="00EC429F">
            <w:rPr>
              <w:spacing w:val="0"/>
            </w:rPr>
            <w:t>requir</w:t>
          </w:r>
          <w:r w:rsidR="000D2D18">
            <w:rPr>
              <w:spacing w:val="0"/>
            </w:rPr>
            <w:t>es</w:t>
          </w:r>
          <w:r w:rsidR="00EC429F" w:rsidRPr="00EC429F">
            <w:rPr>
              <w:spacing w:val="0"/>
            </w:rPr>
            <w:t xml:space="preserve"> a landlord to provide 60</w:t>
          </w:r>
          <w:r>
            <w:rPr>
              <w:spacing w:val="0"/>
            </w:rPr>
            <w:t>-</w:t>
          </w:r>
          <w:r w:rsidR="00EC429F" w:rsidRPr="00EC429F">
            <w:rPr>
              <w:spacing w:val="0"/>
            </w:rPr>
            <w:t>day notice to terminate a tenancy where the tenant has resided in the dwelling for 12 months or more.</w:t>
          </w:r>
        </w:p>
      </w:customXml>
      <w:permEnd w:id="0"/>
      <w:p w:rsidR="00DF5D0E" w:rsidRDefault="00DF5D0E" w:rsidP="003733A8">
        <w:pPr>
          <w:pStyle w:val="AmendSectionPostSpace"/>
          <w:suppressLineNumbers/>
        </w:pPr>
      </w:p>
      <w:p w:rsidR="00DF5D0E" w:rsidRDefault="00DF5D0E" w:rsidP="003733A8">
        <w:pPr>
          <w:pStyle w:val="BillEnd"/>
          <w:suppressLineNumbers/>
        </w:pPr>
      </w:p>
      <w:p w:rsidR="00DF5D0E" w:rsidRDefault="00DE256E" w:rsidP="003733A8">
        <w:pPr>
          <w:pStyle w:val="BillEnd"/>
          <w:suppressLineNumbers/>
        </w:pPr>
        <w:r>
          <w:rPr>
            <w:b/>
          </w:rPr>
          <w:t>--- END ---</w:t>
        </w:r>
      </w:p>
      <w:p w:rsidR="00DF5D0E" w:rsidRDefault="00E26A95" w:rsidP="003733A8">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33A8" w:rsidRDefault="003733A8" w:rsidP="00DF5D0E">
      <w:r>
        <w:separator/>
      </w:r>
    </w:p>
  </w:endnote>
  <w:endnote w:type="continuationSeparator" w:id="0">
    <w:p w:rsidR="003733A8" w:rsidRDefault="003733A8"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8C" w:rsidRDefault="002D6C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6A95">
    <w:pPr>
      <w:pStyle w:val="AmendDraftFooter"/>
    </w:pPr>
    <w:fldSimple w:instr=" TITLE   \* MERGEFORMAT ">
      <w:r w:rsidR="00233E30">
        <w:t>2484-S AMH HURS ADAM 085</w:t>
      </w:r>
    </w:fldSimple>
    <w:r w:rsidR="00DE256E">
      <w:tab/>
    </w:r>
    <w:r>
      <w:fldChar w:fldCharType="begin"/>
    </w:r>
    <w:r w:rsidR="00DE256E">
      <w:instrText xml:space="preserve"> PAGE  \* Arabic  \* MERGEFORMAT </w:instrText>
    </w:r>
    <w:r>
      <w:fldChar w:fldCharType="separate"/>
    </w:r>
    <w:r w:rsidR="00233E30">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6A95">
    <w:pPr>
      <w:pStyle w:val="AmendDraftFooter"/>
    </w:pPr>
    <w:fldSimple w:instr=" TITLE   \* MERGEFORMAT ">
      <w:r w:rsidR="00233E30">
        <w:t>2484-S AMH HURS ADAM 085</w:t>
      </w:r>
    </w:fldSimple>
    <w:r w:rsidR="00DE256E">
      <w:tab/>
    </w:r>
    <w:r>
      <w:fldChar w:fldCharType="begin"/>
    </w:r>
    <w:r w:rsidR="00DE256E">
      <w:instrText xml:space="preserve"> PAGE  \* Arabic  \* MERGEFORMAT </w:instrText>
    </w:r>
    <w:r>
      <w:fldChar w:fldCharType="separate"/>
    </w:r>
    <w:r w:rsidR="00233E30">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33A8" w:rsidRDefault="003733A8" w:rsidP="00DF5D0E">
      <w:r>
        <w:separator/>
      </w:r>
    </w:p>
  </w:footnote>
  <w:footnote w:type="continuationSeparator" w:id="0">
    <w:p w:rsidR="003733A8" w:rsidRDefault="003733A8"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C8C" w:rsidRDefault="002D6C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E26A95">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E26A95">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07284"/>
    <w:rsid w:val="00027F74"/>
    <w:rsid w:val="00060D21"/>
    <w:rsid w:val="00096165"/>
    <w:rsid w:val="000C6C82"/>
    <w:rsid w:val="000D2D18"/>
    <w:rsid w:val="000E06F9"/>
    <w:rsid w:val="000E603A"/>
    <w:rsid w:val="00106544"/>
    <w:rsid w:val="001A775A"/>
    <w:rsid w:val="001B28E3"/>
    <w:rsid w:val="001E6675"/>
    <w:rsid w:val="0020320E"/>
    <w:rsid w:val="00217E8A"/>
    <w:rsid w:val="00233E30"/>
    <w:rsid w:val="00242926"/>
    <w:rsid w:val="00281CBD"/>
    <w:rsid w:val="002D6C8C"/>
    <w:rsid w:val="00316CD9"/>
    <w:rsid w:val="003733A8"/>
    <w:rsid w:val="003E2FC6"/>
    <w:rsid w:val="00492DDC"/>
    <w:rsid w:val="004B7490"/>
    <w:rsid w:val="0050072F"/>
    <w:rsid w:val="00523C5A"/>
    <w:rsid w:val="00605C39"/>
    <w:rsid w:val="006841E6"/>
    <w:rsid w:val="006F7027"/>
    <w:rsid w:val="0072335D"/>
    <w:rsid w:val="0072541D"/>
    <w:rsid w:val="007B77E7"/>
    <w:rsid w:val="007D35D4"/>
    <w:rsid w:val="007E0D71"/>
    <w:rsid w:val="007F2914"/>
    <w:rsid w:val="00846034"/>
    <w:rsid w:val="00865640"/>
    <w:rsid w:val="0086663D"/>
    <w:rsid w:val="008925A7"/>
    <w:rsid w:val="00931B84"/>
    <w:rsid w:val="00972869"/>
    <w:rsid w:val="009F23A9"/>
    <w:rsid w:val="00A01F29"/>
    <w:rsid w:val="00A53787"/>
    <w:rsid w:val="00A57744"/>
    <w:rsid w:val="00A93D4A"/>
    <w:rsid w:val="00AD2D0A"/>
    <w:rsid w:val="00B31D1C"/>
    <w:rsid w:val="00B518D0"/>
    <w:rsid w:val="00B73E0A"/>
    <w:rsid w:val="00B961E0"/>
    <w:rsid w:val="00D40447"/>
    <w:rsid w:val="00DA47F3"/>
    <w:rsid w:val="00DE256E"/>
    <w:rsid w:val="00DF5D0E"/>
    <w:rsid w:val="00E1471A"/>
    <w:rsid w:val="00E26A95"/>
    <w:rsid w:val="00E41CC6"/>
    <w:rsid w:val="00E66F5D"/>
    <w:rsid w:val="00EB19AC"/>
    <w:rsid w:val="00EC429F"/>
    <w:rsid w:val="00ED2EEB"/>
    <w:rsid w:val="00F229DE"/>
    <w:rsid w:val="00F417E9"/>
    <w:rsid w:val="00F4663F"/>
    <w:rsid w:val="00F47226"/>
    <w:rsid w:val="00F562AD"/>
    <w:rsid w:val="00F90DD5"/>
    <w:rsid w:val="00FA3CAA"/>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ams_ed\Application%20Data\Microsoft\Templates\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41</TotalTime>
  <Pages>3</Pages>
  <Words>992</Words>
  <Characters>4747</Characters>
  <Application>Microsoft Office Word</Application>
  <DocSecurity>8</DocSecurity>
  <Lines>107</Lines>
  <Paragraphs>14</Paragraphs>
  <ScaleCrop>false</ScaleCrop>
  <HeadingPairs>
    <vt:vector size="2" baseType="variant">
      <vt:variant>
        <vt:lpstr>Title</vt:lpstr>
      </vt:variant>
      <vt:variant>
        <vt:i4>1</vt:i4>
      </vt:variant>
    </vt:vector>
  </HeadingPairs>
  <TitlesOfParts>
    <vt:vector size="1" baseType="lpstr">
      <vt:lpstr>2484-S AMH HURS ADAM 085</vt:lpstr>
    </vt:vector>
  </TitlesOfParts>
  <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2484-S AMH HURS ADAM 085</dc:title>
  <dc:subject/>
  <dc:creator>Washington State Legislature</dc:creator>
  <cp:keywords/>
  <dc:description/>
  <cp:lastModifiedBy>Washington State Legislature</cp:lastModifiedBy>
  <cp:revision>22</cp:revision>
  <cp:lastPrinted>2010-01-29T17:44:00Z</cp:lastPrinted>
  <dcterms:created xsi:type="dcterms:W3CDTF">2010-01-29T16:25:00Z</dcterms:created>
  <dcterms:modified xsi:type="dcterms:W3CDTF">2010-01-29T17:44:00Z</dcterms:modified>
</cp:coreProperties>
</file>