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0cb3b4a29541a6"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MCCO</w:t>
        </w:r>
      </w:r>
      <w:r>
        <w:rPr>
          <w:b/>
        </w:rPr>
        <w:t xml:space="preserve"> </w:t>
        <w:r>
          <w:rPr/>
          <w:t xml:space="preserve">S2335.2</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109</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Beginning on page 5, line 32,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1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 and</w:t>
      </w:r>
    </w:p>
    <w:p>
      <w:pPr>
        <w:spacing w:before="0" w:after="0" w:line="408" w:lineRule="exact"/>
        <w:ind w:left="0" w:right="0" w:firstLine="576"/>
        <w:jc w:val="left"/>
      </w:pPr>
      <w:r>
        <w:rPr/>
        <w:t xml:space="preserve">(b)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0" w:after="0" w:line="408" w:lineRule="exact"/>
        <w:ind w:left="0" w:right="0" w:firstLine="576"/>
        <w:jc w:val="left"/>
      </w:pPr>
      <w:r>
        <w:rPr>
          <w:u w:val="single"/>
        </w:rPr>
        <w:t xml:space="preserve">EFFECT:</w:t>
      </w:r>
      <w:r>
        <w:rPr/>
        <w:t xml:space="preserve"> Authorizes the department of ecology to request manufacturers to submit certificates of compliance for restricted flame retardants.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e36e9148742f7" /></Relationships>
</file>