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10e7987c547d7" /></Relationships>
</file>

<file path=word/document.xml><?xml version="1.0" encoding="utf-8"?>
<w:document xmlns:w="http://schemas.openxmlformats.org/wordprocessingml/2006/main">
  <w:body>
    <w:p>
      <w:r>
        <w:rPr>
          <w:b/>
        </w:rPr>
        <w:r>
          <w:rPr/>
          <w:t xml:space="preserve">5471</w:t>
        </w:r>
      </w:r>
      <w:r>
        <w:rPr>
          <w:b/>
        </w:rPr>
        <w:t xml:space="preserve"> </w:t>
        <w:t xml:space="preserve">AMS</w:t>
      </w:r>
      <w:r>
        <w:rPr>
          <w:b/>
        </w:rPr>
        <w:t xml:space="preserve"> </w:t>
        <w:r>
          <w:rPr/>
          <w:t xml:space="preserve">ANGE</w:t>
        </w:r>
      </w:r>
      <w:r>
        <w:rPr>
          <w:b/>
        </w:rPr>
        <w:t xml:space="preserve"> </w:t>
        <w:r>
          <w:rPr/>
          <w:t xml:space="preserve">S2426.2</w:t>
        </w:r>
      </w:r>
      <w:r>
        <w:rPr>
          <w:b/>
        </w:rPr>
        <w:t xml:space="preserve"> - NOT FOR FLOOR USE</w:t>
      </w:r>
    </w:p>
    <w:p>
      <w:pPr>
        <w:spacing w:before="480" w:after="0" w:line="408" w:lineRule="exact"/>
      </w:pPr>
      <w:r>
        <w:rPr>
          <w:b/>
          <w:u w:val="single"/>
        </w:rPr>
        <w:t xml:space="preserve">SB 5471</w:t>
      </w:r>
      <w:r>
        <w:t xml:space="preserve"> -</w:t>
      </w:r>
      <w:r>
        <w:t xml:space="preserve"> </w:t>
        <w:t xml:space="preserve">S AMD</w:t>
      </w:r>
      <w:r>
        <w:t xml:space="preserve"> </w:t>
      </w:r>
      <w:r>
        <w:rPr>
          <w:b/>
        </w:rPr>
        <w:t xml:space="preserve">136</w:t>
      </w:r>
    </w:p>
    <w:p>
      <w:pPr>
        <w:spacing w:before="0" w:after="0" w:line="408" w:lineRule="exact"/>
        <w:ind w:left="0" w:right="0" w:firstLine="576"/>
        <w:jc w:val="left"/>
      </w:pPr>
      <w:r>
        <w:rPr/>
        <w:t xml:space="preserve">By Senators Angel, Mullet, Benton</w:t>
      </w:r>
    </w:p>
    <w:p>
      <w:pPr>
        <w:jc w:val="right"/>
      </w:pPr>
      <w:r>
        <w:rPr>
          <w:b/>
        </w:rPr>
        <w:t xml:space="preserve">ADOPTED 3/6/2015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so long as it meets the requirements of the Washington electronic authentication act (chapter 19.34 RCW).</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 </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the effective date of this section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the effective date of this section,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other provisions of this chapter, standard property and casualty insurance policy forms and endorsements that do not contain personally identifiable information may be mailed, delivered, or posted on the insurer's web site. If the insurer elects to post insurance policy forms and endorsements on its web site in lieu of mailing or delivering them to the insured, it must comply with all of the following conditions:</w:t>
      </w:r>
    </w:p>
    <w:p>
      <w:pPr>
        <w:spacing w:before="0" w:after="0" w:line="408" w:lineRule="exact"/>
        <w:ind w:left="0" w:right="0" w:firstLine="576"/>
        <w:jc w:val="left"/>
      </w:pPr>
      <w:r>
        <w:rPr/>
        <w:t xml:space="preserve">(a) The policy forms and endorsements must be accessible to the insured and the producer of record and remain that way for as long as the policy is in force;</w:t>
      </w:r>
    </w:p>
    <w:p>
      <w:pPr>
        <w:spacing w:before="0" w:after="0" w:line="408" w:lineRule="exact"/>
        <w:ind w:left="0" w:right="0" w:firstLine="576"/>
        <w:jc w:val="left"/>
      </w:pPr>
      <w:r>
        <w:rPr/>
        <w:t xml:space="preserve">(b) After the expiration of the policy, the insurer must archive its expired policy forms and endorsements for a period of six years or other period required by law, and make them available upon request;</w:t>
      </w:r>
    </w:p>
    <w:p>
      <w:pPr>
        <w:spacing w:before="0" w:after="0" w:line="408" w:lineRule="exact"/>
        <w:ind w:left="0" w:right="0" w:firstLine="576"/>
        <w:jc w:val="left"/>
      </w:pPr>
      <w:r>
        <w:rPr/>
        <w:t xml:space="preserve">(c) The policy forms and endorsements must be posted in a manner that enables the insured and producer of record to print and save the policy form and endorsements using programs or applications that are widely available on the internet and free to use;</w:t>
      </w:r>
    </w:p>
    <w:p>
      <w:pPr>
        <w:spacing w:before="0" w:after="0" w:line="408" w:lineRule="exact"/>
        <w:ind w:left="0" w:right="0" w:firstLine="576"/>
        <w:jc w:val="left"/>
      </w:pPr>
      <w:r>
        <w:rPr/>
        <w:t xml:space="preserve">(d) The insurer must provide the following information in, or simultaneous with, each declarations page provided at the time of issuance of the initial policy and any renewals of that policy:</w:t>
      </w:r>
    </w:p>
    <w:p>
      <w:pPr>
        <w:spacing w:before="0" w:after="0" w:line="408" w:lineRule="exact"/>
        <w:ind w:left="0" w:right="0" w:firstLine="576"/>
        <w:jc w:val="left"/>
      </w:pPr>
      <w:r>
        <w:rPr/>
        <w:t xml:space="preserve">(i) A description of the exact policy and endorsement forms purchased by the insured;</w:t>
      </w:r>
    </w:p>
    <w:p>
      <w:pPr>
        <w:spacing w:before="0" w:after="0" w:line="408" w:lineRule="exact"/>
        <w:ind w:left="0" w:right="0" w:firstLine="576"/>
        <w:jc w:val="left"/>
      </w:pPr>
      <w:r>
        <w:rPr/>
        <w:t xml:space="preserve">(ii) A description of the insured's right to receive, upon request and without charge, a paper copy of the policy and endorsements by mail;</w:t>
      </w:r>
    </w:p>
    <w:p>
      <w:pPr>
        <w:spacing w:before="0" w:after="0" w:line="408" w:lineRule="exact"/>
        <w:ind w:left="0" w:right="0" w:firstLine="576"/>
        <w:jc w:val="left"/>
      </w:pPr>
      <w:r>
        <w:rPr/>
        <w:t xml:space="preserve">(iii) The internet address where their policy and endorsements are posted;</w:t>
      </w:r>
    </w:p>
    <w:p>
      <w:pPr>
        <w:spacing w:before="0" w:after="0" w:line="408" w:lineRule="exact"/>
        <w:ind w:left="0" w:right="0" w:firstLine="576"/>
        <w:jc w:val="left"/>
      </w:pPr>
      <w:r>
        <w:rPr/>
        <w:t xml:space="preserve">(iv) Notice of the insured's right, upon request and without charge, to receive a paper copy of the insured's policy and endorsements by mail; and</w:t>
      </w:r>
    </w:p>
    <w:p>
      <w:pPr>
        <w:spacing w:before="0" w:after="0" w:line="408" w:lineRule="exact"/>
        <w:ind w:left="0" w:right="0" w:firstLine="576"/>
        <w:jc w:val="left"/>
      </w:pPr>
      <w:r>
        <w:rPr/>
        <w:t xml:space="preserve">(v) Notice, in the manner in which the insurer customarily communicates with the insured, of any changes to the forms or endorsements, the insured's right to obtain, upon request and without charge, a paper copy of such forms or endorsements, and the internet address where such forms or endorsements are posted.</w:t>
      </w:r>
    </w:p>
    <w:p>
      <w:pPr>
        <w:spacing w:before="0" w:after="0" w:line="408" w:lineRule="exact"/>
        <w:ind w:left="0" w:right="0" w:firstLine="576"/>
        <w:jc w:val="left"/>
      </w:pPr>
      <w:r>
        <w:rPr/>
        <w:t xml:space="preserve">(2) Nothing in this section affects the timing or content of any disclosure or other document required to be provided or made available to any insured under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48 RCW."</w:t>
      </w:r>
    </w:p>
    <w:p>
      <w:pPr>
        <w:spacing w:before="480" w:after="0" w:line="408" w:lineRule="exact"/>
      </w:pPr>
      <w:r>
        <w:rPr>
          <w:b/>
          <w:u w:val="single"/>
        </w:rPr>
        <w:t xml:space="preserve">SB 5471</w:t>
      </w:r>
      <w:r>
        <w:t xml:space="preserve"> -</w:t>
      </w:r>
      <w:r>
        <w:t xml:space="preserve"> </w:t>
        <w:t xml:space="preserve">S AMD</w:t>
      </w:r>
      <w:r>
        <w:t xml:space="preserve"> </w:t>
      </w:r>
      <w:r>
        <w:rPr>
          <w:b/>
        </w:rPr>
        <w:t xml:space="preserve">136</w:t>
      </w:r>
    </w:p>
    <w:p>
      <w:pPr>
        <w:spacing w:before="0" w:after="0" w:line="408" w:lineRule="exact"/>
        <w:ind w:left="0" w:right="0" w:firstLine="576"/>
        <w:jc w:val="left"/>
      </w:pPr>
      <w:r>
        <w:rPr/>
        <w:t xml:space="preserve">By Senators Angel, Mullet, Benton</w:t>
      </w:r>
    </w:p>
    <w:p>
      <w:pPr>
        <w:jc w:val="right"/>
      </w:pPr>
      <w:r>
        <w:rPr>
          <w:b/>
        </w:rPr>
        <w:t xml:space="preserve">ADOPTED 3/6/2015</w:t>
      </w:r>
    </w:p>
    <w:p>
      <w:pPr>
        <w:spacing w:before="0" w:after="0" w:line="408" w:lineRule="exact"/>
        <w:ind w:left="0" w:right="0" w:firstLine="576"/>
        <w:jc w:val="left"/>
      </w:pPr>
      <w:r>
        <w:rPr/>
        <w:t xml:space="preserve">On page 1, line 2 of the title, after "products;" strike the remainder of the title and insert "and adding a new chapter to Title 48 RCW."</w:t>
      </w:r>
    </w:p>
    <w:p>
      <w:pPr>
        <w:spacing w:before="0" w:after="0" w:line="408" w:lineRule="exact"/>
        <w:ind w:left="0" w:right="0" w:firstLine="576"/>
        <w:jc w:val="left"/>
      </w:pPr>
      <w:r>
        <w:rPr>
          <w:u w:val="single"/>
        </w:rPr>
        <w:t xml:space="preserve">EFFECT:</w:t>
      </w:r>
      <w:r>
        <w:rPr/>
        <w:t xml:space="preserve"> The amendment makes technical changes; removes requirements to notify the insured of the means to obtain a paper copy after consent is given; clarifies that withdrawal of consent applies no later than 30 days after the withdrawal; removes the provision allowing use of certain oral communication to qualify as notice delivered by electronic means; removes the provision that electronic signatures may be used to satisfy requirements for documents to be notarized, acknowledged, verified, or made under oath; exempts a producer from civil liability for the insured's election for delivery by electronic means or failure to deliver by electronic means; changes the requirement to archive policy forms posted to a web site from five to six years; and adds a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30d55686cc4ef7" /></Relationships>
</file>