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fedaa6a25c4af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5498-S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S2131.4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5498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36, beginning on line 3, after "chapter" strike all material through ""Article 9"" on line 4 and insert "4.24 RCW"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36, line 10, after "is" strike "deemed" and insert "presumed"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36, after line 13,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62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If any part of this act is found to be in conflict with federal requirements that are a prescribed condition to the allocation of federal funds to the state, the Washington department of social and health services shall submit a request to obtain a statutory or regulatory waiver of provisions to the extent of the conflicting requirements in Title IV-D of the federal social security act from the federal department of health and human services."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5498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10 of the title, after "26.21A RCW;" insert "adding a new section to chapter 4.24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2008 UIFSA Amendments are adopted verbatim in their entirety in chapter 26.21A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new section is added to chapter 4.24 RCW that presumes (but does not deem) an order is manifestly incompatible with public policy if it violates a party's constitutional rights.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If there is found to be a conflict with federal law, DSHS must submit a waiver request to federal HHS.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e86ded8cc44dc" /></Relationships>
</file>