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905d6b45346fa" /></Relationships>
</file>

<file path=word/document.xml><?xml version="1.0" encoding="utf-8"?>
<w:document xmlns:w="http://schemas.openxmlformats.org/wordprocessingml/2006/main">
  <w:body>
    <w:p>
      <w:r>
        <w:rPr>
          <w:b/>
        </w:rPr>
        <w:r>
          <w:rPr/>
          <w:t xml:space="preserve">5577</w:t>
        </w:r>
      </w:r>
      <w:r>
        <w:rPr>
          <w:b/>
        </w:rPr>
        <w:t xml:space="preserve"> </w:t>
        <w:t xml:space="preserve">AMS</w:t>
      </w:r>
      <w:r>
        <w:rPr>
          <w:b/>
        </w:rPr>
        <w:t xml:space="preserve"> </w:t>
        <w:r>
          <w:rPr/>
          <w:t xml:space="preserve">BRAU</w:t>
        </w:r>
      </w:r>
      <w:r>
        <w:rPr>
          <w:b/>
        </w:rPr>
        <w:t xml:space="preserve"> </w:t>
        <w:r>
          <w:rPr/>
          <w:t xml:space="preserve">S2434.1</w:t>
        </w:r>
      </w:r>
      <w:r>
        <w:rPr>
          <w:b/>
        </w:rPr>
        <w:t xml:space="preserve"> - NOT FOR FLOOR USE</w:t>
      </w:r>
    </w:p>
    <w:p>
      <w:pPr>
        <w:spacing w:before="480" w:after="0" w:line="408" w:lineRule="exact"/>
      </w:pPr>
      <w:r>
        <w:rPr>
          <w:b/>
          <w:u w:val="single"/>
        </w:rPr>
        <w:t xml:space="preserve">SB 5577</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Senators Braun, Cleveland</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 The legislature encourages the department to exercise its enforcement discretion with regard to pharmaceutical waste during the pendency of the work group process described in subsection (1)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Pr>
        <w:spacing w:before="480" w:after="0" w:line="408" w:lineRule="exact"/>
      </w:pPr>
      <w:r>
        <w:rPr>
          <w:b/>
          <w:u w:val="single"/>
        </w:rPr>
        <w:t xml:space="preserve">SB 5577</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Senators Braun, Cleveland</w:t>
      </w:r>
    </w:p>
    <w:p>
      <w:pPr>
        <w:jc w:val="right"/>
      </w:pPr>
      <w:r>
        <w:rPr>
          <w:b/>
        </w:rPr>
        <w:t xml:space="preserve">ADOPTED 3/10/2015</w:t>
      </w:r>
    </w:p>
    <w:p>
      <w:pPr>
        <w:spacing w:before="0" w:after="0" w:line="408" w:lineRule="exact"/>
        <w:ind w:left="0" w:right="0" w:firstLine="576"/>
        <w:jc w:val="left"/>
      </w:pPr>
      <w:r>
        <w:rPr/>
        <w:t xml:space="preserve">On page 1, line 1 of the title, after "waste;" strike the remainder of the title and insert "and creating new sections."</w:t>
      </w:r>
    </w:p>
    <w:p>
      <w:pPr>
        <w:spacing w:before="0" w:after="0" w:line="408" w:lineRule="exact"/>
        <w:ind w:left="0" w:right="0" w:firstLine="576"/>
        <w:jc w:val="left"/>
      </w:pPr>
      <w:r>
        <w:rPr>
          <w:u w:val="single"/>
        </w:rPr>
        <w:t xml:space="preserve">EFFECT:</w:t>
      </w:r>
      <w:r>
        <w:rPr/>
        <w:t xml:space="preserve"> Eliminates the authorization for pharmaceutical waste handling facilities to manage all wastes received from pharmaceutical waste generators as dangerous wastes subject only to state waste disposal requirements. Requires the work group convened by the department of ecology to evaluate pharmaceutical waste management practices to provide recommendations on how to implement regulations consistently statewide, and eliminates the requirement that the department of ecology designate an employee in its headquarters office to oversee statewide pharmaceutical waste regulation.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25c9d66fe42bb" /></Relationships>
</file>