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41e075afa4235" /></Relationships>
</file>

<file path=word/document.xml><?xml version="1.0" encoding="utf-8"?>
<w:document xmlns:w="http://schemas.openxmlformats.org/wordprocessingml/2006/main">
  <w:body>
    <w:p>
      <w:r>
        <w:rPr>
          <w:b/>
        </w:rPr>
        <w:r>
          <w:rPr/>
          <w:t xml:space="preserve">6057-S</w:t>
        </w:r>
      </w:r>
      <w:r>
        <w:rPr>
          <w:b/>
        </w:rPr>
        <w:t xml:space="preserve"> </w:t>
        <w:t xml:space="preserve">AMS</w:t>
      </w:r>
      <w:r>
        <w:rPr>
          <w:b/>
        </w:rPr>
        <w:t xml:space="preserve"> </w:t>
        <w:r>
          <w:rPr/>
          <w:t xml:space="preserve">HILL</w:t>
        </w:r>
      </w:r>
      <w:r>
        <w:rPr>
          <w:b/>
        </w:rPr>
        <w:t xml:space="preserve"> </w:t>
        <w:r>
          <w:rPr/>
          <w:t xml:space="preserve">S3393.1</w:t>
        </w:r>
      </w:r>
      <w:r>
        <w:rPr>
          <w:b/>
        </w:rPr>
        <w:t xml:space="preserve"> - NOT FOR FLOOR USE</w:t>
      </w:r>
    </w:p>
    <w:p>
      <w:pPr>
        <w:ind w:left="0" w:right="0" w:firstLine="576"/>
      </w:pP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503</w:t>
      </w:r>
    </w:p>
    <w:p>
      <w:pPr>
        <w:ind w:left="0" w:right="0" w:firstLine="360"/>
        <w:jc w:val="both"/>
      </w:pPr>
      <w:r>
        <w:rPr/>
        <w:t xml:space="preserve">By Senators Hill, Cleveland</w:t>
      </w:r>
    </w:p>
    <w:p>
      <w:pPr>
        <w:jc w:val="right"/>
      </w:pPr>
      <w:r>
        <w:rPr>
          <w:b/>
        </w:rPr>
        <w:t xml:space="preserve">ADOPTED 6/29/2015</w:t>
      </w:r>
    </w:p>
    <w:p>
      <w:pPr>
        <w:ind w:left="0" w:right="0" w:firstLine="360"/>
        <w:jc w:val="both"/>
      </w:pPr>
      <w:r>
        <w:rPr/>
        <w:t xml:space="preserve">Beginning on page 30, after line 4 of the amendment, strike all of part VI and insert the following:</w:t>
      </w:r>
    </w:p>
    <w:p>
      <w:pPr>
        <w:ind w:left="0" w:right="0" w:firstLine="360"/>
        <w:jc w:val="center"/>
      </w:pPr>
      <w:r>
        <w:rPr>
          <w:b/>
        </w:rPr>
        <w:t xml:space="preserve">"</w:t>
      </w:r>
      <w:r>
        <w:rPr>
          <w:b/>
        </w:rPr>
        <w:t xml:space="preserve">Clarifying the Definition of a Newspaper and Extending the B&amp;O Newspaper Preferential Tax Rate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over the last fifteen years, technological transformation and other developments have radically changed the newspaper industry business model, which remains in transition. The legislature further finds that the economic hardship wrought by this digital transformation has been substantial. The legislature finds that a strong and vibrant newspaper industry in Washington is beneficial to the state's citizens and to the conduct of good government at every level. The legislature further finds that advertising revenue of all United States newspapers fell from 63.5 billion dollars in 2000 to about twenty-three billion dollars in 2013, and is still falling. The legislature further finds that traditional news organizations' ability to support high quality news gathering and reporting relied primarily on a model in which advertisers paid to reach mass audiences attracted by newspapers. The legislature further finds that advertisers found it advantageous to pay to reach a mass audience because other advertising mediums were limited and less effective. The digital era has greatly fractured traditional spending by advertisers and turned this model on its head such that newspapers continue to require time to adapt so they may continue their public service mission. The legislature also finds that the business and occupation tax rate for the newspaper industry was pegged to the general manufacturing and wholesaling rate from 1937 until 2009, when the legislature extended tax relief to the industry due to this shift. It is the legislature's intent to extend this tax relief to the industry until its revenues and business model have stabilized. It is the legislature's further intent to provide a uniform tax rate for the industry to minimize the burden of reporting state business and occupation taxes for different types of revenue, which often times are impossible to account for separately by the taxpayer.</w:t>
      </w:r>
    </w:p>
    <w:p>
      <w:pPr>
        <w:ind w:left="0" w:right="0" w:firstLine="360"/>
        <w:jc w:val="both"/>
      </w:pPr>
      <w:r>
        <w:rPr/>
        <w:t xml:space="preserve">(2)(a) This subsection is the tax preference performance statement for the newspaper tax preferences in section 602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provide temporary tax relief as described in RCW 82.32.808(2)(e).</w:t>
      </w:r>
    </w:p>
    <w:p>
      <w:pPr>
        <w:ind w:left="0" w:right="0" w:firstLine="360"/>
        <w:jc w:val="both"/>
      </w:pPr>
      <w:r>
        <w:rPr/>
        <w:t xml:space="preserve">(c) It is the legislature's specific public policy objective to provide business and occupation tax relief to the newspaper industry as it continues to adjust to significant revenue shifts and technological changes. As a secondary public policy objective, it is the legislature's intent to provide a permanent uniform rate for the industry.</w:t>
      </w:r>
    </w:p>
    <w:p>
      <w:pPr>
        <w:ind w:left="0" w:right="0" w:firstLine="360"/>
        <w:jc w:val="both"/>
      </w:pPr>
      <w:r>
        <w:rPr/>
        <w:t xml:space="preserve">(d) To measure the effectiveness of the preference provided in this act in achieving the specific public policy objective described in (c) of this subsection, the joint legislative audit and review committee must evaluate year-to-year changes in gross revenue derived from all sources for newspaper firms claiming the preferential tax rate under RCW 82.04.260(14). If the average year-to-year change in gross revenue is positive, including the last three years included in the tax preference review by the joint legislative audit and review committee, it is the legislature's intent to allow the tax preference to expire and to reinstate the traditional rate of 0.484 percent.</w:t>
      </w:r>
    </w:p>
    <w:p>
      <w:pPr>
        <w:ind w:left="0" w:right="0" w:firstLine="360"/>
        <w:jc w:val="both"/>
      </w:pPr>
      <w:r>
        <w:rPr/>
        <w:t xml:space="preserve">(e)(i) The information provided in the annual tax preference accountability report submitted by taxpayers as required by the department of revenue and taxpayer data provided by the department of revenue is intended to provide the informational basis for the evaluation under (d) of this subsection.</w:t>
      </w:r>
    </w:p>
    <w:p>
      <w:pPr>
        <w:ind w:left="0" w:right="0" w:firstLine="360"/>
        <w:jc w:val="both"/>
      </w:pPr>
      <w:r>
        <w:rPr/>
        <w:t xml:space="preserve">(ii) In addition to the data source described under (e)(i) of this subsection, the joint legislative audit and review committee may use any other data it deems necessary in performing the evaluation under (d)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w:t>
      </w:r>
      <w:r>
        <w:t>((</w:t>
      </w:r>
      <w:r>
        <w:rPr>
          <w:strike/>
        </w:rPr>
        <w:t xml:space="preserve">0.2904 percent</w:t>
      </w:r>
      <w:r>
        <w:t>))</w:t>
      </w:r>
      <w:r>
        <w:rPr/>
        <w:t xml:space="preserve"> </w:t>
      </w:r>
      <w:r>
        <w:rPr>
          <w:u w:val="single"/>
        </w:rPr>
        <w:t xml:space="preserve">0.35 percent until July 1, 2024, and 0.484 percent thereafter</w:t>
      </w:r>
      <w:r>
        <w:rPr/>
        <w:t xml:space="preserve">.</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2nd sp.s. c 6 s 704 (uncodified) is amended to read as follows:</w:t>
      </w:r>
    </w:p>
    <w:p>
      <w:pPr>
        <w:ind w:left="0" w:right="0" w:firstLine="360"/>
        <w:jc w:val="both"/>
      </w:pPr>
      <w:r>
        <w:t>((</w:t>
      </w:r>
      <w:r>
        <w:rPr>
          <w:strike/>
        </w:rPr>
        <w:t xml:space="preserve">Part VI</w:t>
      </w:r>
      <w:r>
        <w:t>))</w:t>
      </w:r>
      <w:r>
        <w:rPr/>
        <w:t xml:space="preserve"> </w:t>
      </w:r>
      <w:r>
        <w:rPr>
          <w:u w:val="single"/>
        </w:rPr>
        <w:t xml:space="preserve">Section 602</w:t>
      </w:r>
      <w:r>
        <w:rPr/>
        <w:t xml:space="preserve"> of this act expires July 1, 2015."</w:t>
      </w: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503</w:t>
      </w:r>
    </w:p>
    <w:p>
      <w:pPr>
        <w:ind w:left="0" w:right="0" w:firstLine="360"/>
        <w:jc w:val="both"/>
      </w:pPr>
      <w:r>
        <w:rPr/>
        <w:t xml:space="preserve">By Senators Hill, Cleveland</w:t>
      </w:r>
    </w:p>
    <w:p>
      <w:pPr>
        <w:jc w:val="right"/>
      </w:pPr>
      <w:r>
        <w:rPr>
          <w:b/>
        </w:rPr>
        <w:t xml:space="preserve">ADOPTED 6/29/2015</w:t>
      </w:r>
    </w:p>
    <w:p>
      <w:pPr>
        <w:ind w:left="0" w:right="0" w:firstLine="360"/>
        <w:jc w:val="both"/>
      </w:pPr>
      <w:r>
        <w:rPr/>
        <w:t xml:space="preserve">On page 112, line 21 of the title amendment, after "82.12.022," strike "82.04.214,"</w:t>
      </w:r>
    </w:p>
    <w:p>
      <w:pPr>
        <w:ind w:left="0" w:right="0" w:firstLine="360"/>
        <w:jc w:val="both"/>
      </w:pPr>
      <w:r>
        <w:rPr/>
        <w:t xml:space="preserve">On page 112, line 25 of the title amendment, after "63.29.340;" insert "amending 2012 2nd sp.s. c 6 s 704 (uncodified);"</w:t>
      </w:r>
    </w:p>
    <w:p>
      <w:pPr>
        <w:ind w:left="0" w:right="0" w:firstLine="360"/>
        <w:jc w:val="both"/>
      </w:pPr>
      <w:r>
        <w:rPr>
          <w:u w:val="single"/>
        </w:rPr>
        <w:t xml:space="preserve">EFFECT:</w:t>
      </w:r>
      <w:r>
        <w:rPr/>
        <w:t xml:space="preserve"> Clarifies that electronic versions of the newspaper are a supplement to the printed newspaper, creating a blended rate for the reporting of B&amp;O taxes for newspapers. Clarifies the tax preference and extends the preference to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36c2d24e34ad9" /></Relationships>
</file>