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4501cbb764c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1636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MacEwen and Griffey)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employment reporting by state agencies;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disability employment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eleven percent of working age adults and thirteen percent of the state's total population consists of persons with disabilities, that persons with disabilities suffer significantly higher rates of unemployment and underemployment than in the general population, and that representation of disabled persons in the state workforce has declined in recent years, but has increased during the last year. The legislature further finds that there is no policy similar to Schedule A in the federal civil service system for priority hiring of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86ffc7fab42f48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e3a125f564227" /><Relationship Type="http://schemas.openxmlformats.org/officeDocument/2006/relationships/footer" Target="/word/footer.xml" Id="R86ffc7fab42f483a" /></Relationships>
</file>