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8550c50204072" /></Relationships>
</file>

<file path=word/document.xml><?xml version="1.0" encoding="utf-8"?>
<w:document xmlns:w="http://schemas.openxmlformats.org/wordprocessingml/2006/main">
  <w:body>
    <w:p>
      <w:pPr>
        <w:jc w:val="left"/>
      </w:pPr>
      <w:r>
        <w:rPr>
          <w:u w:val="single"/>
        </w:rPr>
        <w:t>HOUSE RESOLUTION NO. 2015-4607</w:t>
      </w:r>
      <w:r>
        <w:t xml:space="preserve">, by </w:t>
      </w:r>
      <w:r>
        <w:t>Representatives Sullivan and Kretz</w:t>
      </w:r>
    </w:p>
    <w:p/>
    <w:p>
      <w:pPr>
        <w:spacing w:before="0" w:after="0" w:line="240" w:lineRule="exact"/>
        <w:ind w:left="0" w:right="0" w:firstLine="576"/>
        <w:jc w:val="left"/>
      </w:pPr>
      <w:r>
        <w:rPr/>
        <w:t xml:space="preserve">BE IT RESOLVED, That </w:t>
      </w:r>
      <w:r>
        <w:t>((</w:t>
      </w:r>
      <w:r>
        <w:rPr>
          <w:strike/>
        </w:rPr>
        <w:t xml:space="preserve">no later than Friday, January 30, 2015, the nineteenth legislative day, the House of Representatives shall meet to consider adoption of permanent House Rules for the Sixty-Fourth Legislature; and</w:t>
      </w:r>
    </w:p>
    <w:p>
      <w:pPr>
        <w:spacing w:before="0" w:after="0" w:line="240" w:lineRule="exact"/>
        <w:ind w:left="0" w:right="0" w:firstLine="576"/>
        <w:jc w:val="left"/>
      </w:pPr>
      <w:r>
        <w:rPr>
          <w:strike/>
        </w:rPr>
        <w:t xml:space="preserve">BE IT FURTHER RESOLVED, That temporary</w:t>
      </w:r>
      <w:r>
        <w:t>))</w:t>
      </w:r>
      <w:r>
        <w:rPr>
          <w:u w:val="single"/>
        </w:rPr>
        <w:t xml:space="preserve">the permanent</w:t>
      </w:r>
      <w:r>
        <w:rPr/>
        <w:t xml:space="preserve"> House Rules for the Sixty-Fourth Legislature be adopted as follows:</w:t>
      </w:r>
    </w:p>
    <w:p>
      <w:pPr>
        <w:spacing w:before="240" w:after="0" w:line="240" w:lineRule="exact"/>
        <w:ind w:left="0" w:right="0" w:firstLine="0"/>
        <w:jc w:val="center"/>
      </w:pPr>
      <w:r>
        <w:t>((</w:t>
      </w:r>
      <w:r>
        <w:rPr>
          <w:strike/>
        </w:rPr>
        <w:t xml:space="preserve">TEMPORARY</w:t>
      </w:r>
      <w:r>
        <w:t>))</w:t>
      </w:r>
      <w:r>
        <w:rPr>
          <w:u w:val="single"/>
        </w:rPr>
        <w:t xml:space="preserve">PERMANENT</w:t>
      </w:r>
      <w:r>
        <w:rPr/>
        <w:t xml:space="preserve"> RULES OF THE HOUSE OF REPRESENTATIVES</w:t>
      </w:r>
    </w:p>
    <w:p>
      <w:pPr>
        <w:spacing w:before="0" w:after="240" w:line="240" w:lineRule="exact"/>
        <w:ind w:left="0" w:right="0" w:firstLine="0"/>
        <w:jc w:val="center"/>
      </w:pPr>
      <w:r>
        <w:rPr/>
        <w:t xml:space="preserve">SIXTY-FOURTH LEGISLATURE 2015-2016</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2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 and also means any standing committee subcommittee.</w:t>
      </w:r>
    </w:p>
    <w:p>
      <w:pPr>
        <w:spacing w:before="0" w:after="120" w:line="240" w:lineRule="exact"/>
        <w:ind w:left="0" w:right="0" w:firstLine="576"/>
        <w:jc w:val="left"/>
      </w:pPr>
      <w:r>
        <w:rPr/>
        <w:t xml:space="preserve">"Fiscal committee" means the appropriations, capital budget, finance, general government &amp; information technology,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u w:val="single"/>
        </w:rPr>
        <w:t xml:space="preserve">No house bill may be introduced that is identical to any other pending house bill.</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tbl>
      <w:tblPr>
        <w:tblW w:w="0" w:type="auto"/>
        <w:jc w:val="center"/>
        <w:tcMar>
          <w:tblCellMar>
            <w:top w:w="0" w:type="dxa"/>
          </w:tblCellMar>
        </w:tcMar>
        <w:tcMar>
          <w:tblCellMar>
            <w:left w:w="70" w:type="dxa"/>
            <w:right w:w="70" w:type="dxa"/>
          </w:tblCellMar>
        </w:tcMar>
      </w:tblPr>
      <w:tblGrid>
        <w:gridCol w:w="660"/>
        <w:gridCol w:w="9240"/>
      </w:tblGrid>
      <w:tr>
        <w:tc>
          <w:tcPr>
            <w:tcW w:w="660" w:type="dxa"/>
            <w:vAlign w:val="top"/>
          </w:tcPr>
          <w:p>
            <w:pPr>
              <w:spacing w:before="0" w:after="0" w:line="240" w:lineRule="exact"/>
              <w:ind w:left="0" w:right="0" w:firstLine="0"/>
              <w:jc w:val="left"/>
            </w:pPr>
            <w:r>
              <w:rPr>
                <w:rFonts w:ascii="Times New Roman" w:hAnsi="Times New Roman"/>
                <w:sz w:val="20"/>
              </w:rPr>
              <w:t xml:space="preserve">1.</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Agriculture &amp; Natural Resources</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2.</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Appropriations</w:t>
            </w:r>
            <w:r>
              <w:tab/>
            </w:r>
            <w:r>
              <w:rPr>
                <w:rFonts w:ascii="Times New Roman" w:hAnsi="Times New Roman"/>
                <w:sz w:val="20"/>
              </w:rPr>
              <w:t xml:space="preserve">33</w:t>
            </w:r>
          </w:p>
        </w:tc>
      </w:tr>
      <w:tr>
        <w:tc>
          <w:tcPr>
            <w:tcW w:w="660" w:type="dxa"/>
            <w:vAlign w:val="top"/>
          </w:tcPr>
          <w:p>
            <w:pPr>
              <w:spacing w:before="0" w:after="0" w:line="240" w:lineRule="exact"/>
              <w:ind w:left="0" w:right="0" w:firstLine="0"/>
              <w:jc w:val="left"/>
            </w:pPr>
            <w:r>
              <w:rPr>
                <w:rFonts w:ascii="Times New Roman" w:hAnsi="Times New Roman"/>
                <w:sz w:val="20"/>
              </w:rPr>
              <w:t xml:space="preserve">3.</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Business &amp; Financial Services</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4.</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Capital Budget</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5.</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Commerce &amp; Gaming</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6.</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Community Development, Housing &amp; Tribal Affairs</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7.</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Early Learning &amp; Human Services</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8.</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Education</w:t>
            </w:r>
            <w:r>
              <w:tab/>
            </w:r>
            <w:r>
              <w:rPr>
                <w:rFonts w:ascii="Times New Roman" w:hAnsi="Times New Roman"/>
                <w:sz w:val="20"/>
              </w:rPr>
              <w:t xml:space="preserve">21</w:t>
            </w:r>
          </w:p>
        </w:tc>
      </w:tr>
      <w:tr>
        <w:tc>
          <w:tcPr>
            <w:tcW w:w="660" w:type="dxa"/>
            <w:vAlign w:val="top"/>
          </w:tcPr>
          <w:p>
            <w:pPr>
              <w:spacing w:before="0" w:after="0" w:line="240" w:lineRule="exact"/>
              <w:ind w:left="0" w:right="0" w:firstLine="0"/>
              <w:jc w:val="left"/>
            </w:pPr>
            <w:r>
              <w:rPr>
                <w:rFonts w:ascii="Times New Roman" w:hAnsi="Times New Roman"/>
                <w:sz w:val="20"/>
              </w:rPr>
              <w:t xml:space="preserve">9.</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Environment</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10.</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Finance</w:t>
            </w:r>
            <w:r>
              <w:tab/>
            </w:r>
            <w:r>
              <w:t>((</w:t>
            </w:r>
            <w:r>
              <w:rPr>
                <w:rFonts w:ascii="Times New Roman" w:hAnsi="Times New Roman"/>
                <w:strike/>
                <w:sz w:val="20"/>
              </w:rPr>
              <w:t xml:space="preserve">15</w:t>
            </w:r>
            <w:r>
              <w:t>))</w:t>
            </w:r>
            <w:r>
              <w:rPr>
                <w:rFonts w:ascii="Times New Roman" w:hAnsi="Times New Roman"/>
                <w:sz w:val="20"/>
                <w:u w:val="single"/>
              </w:rPr>
              <w:t xml:space="preserve">16</w:t>
            </w:r>
          </w:p>
        </w:tc>
      </w:tr>
      <w:tr>
        <w:tc>
          <w:tcPr>
            <w:tcW w:w="660" w:type="dxa"/>
            <w:vAlign w:val="top"/>
          </w:tcPr>
          <w:p>
            <w:pPr>
              <w:spacing w:before="0" w:after="0" w:line="240" w:lineRule="exact"/>
              <w:ind w:left="0" w:right="0" w:firstLine="0"/>
              <w:jc w:val="left"/>
            </w:pPr>
            <w:r>
              <w:rPr>
                <w:rFonts w:ascii="Times New Roman" w:hAnsi="Times New Roman"/>
                <w:sz w:val="20"/>
              </w:rPr>
              <w:t xml:space="preserve">11.</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General Government &amp; Information Technology</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12.</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Health Care &amp; Wellness</w:t>
            </w:r>
            <w:r>
              <w:tab/>
            </w:r>
            <w:r>
              <w:rPr>
                <w:rFonts w:ascii="Times New Roman" w:hAnsi="Times New Roman"/>
                <w:sz w:val="20"/>
              </w:rPr>
              <w:t xml:space="preserve">15</w:t>
            </w:r>
          </w:p>
        </w:tc>
      </w:tr>
      <w:tr>
        <w:tc>
          <w:tcPr>
            <w:tcW w:w="660" w:type="dxa"/>
            <w:vAlign w:val="top"/>
          </w:tcPr>
          <w:p>
            <w:pPr>
              <w:spacing w:before="0" w:after="0" w:line="240" w:lineRule="exact"/>
              <w:ind w:left="0" w:right="0" w:firstLine="0"/>
              <w:jc w:val="left"/>
            </w:pPr>
            <w:r>
              <w:rPr>
                <w:rFonts w:ascii="Times New Roman" w:hAnsi="Times New Roman"/>
                <w:sz w:val="20"/>
              </w:rPr>
              <w:t xml:space="preserve">13.</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Higher Education</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14.</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Judiciary</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15.</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Labor</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16.</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Local Government</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17.</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Public Safety</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18.</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Rules</w:t>
            </w:r>
            <w:r>
              <w:tab/>
            </w:r>
            <w:r>
              <w:rPr>
                <w:rFonts w:ascii="Times New Roman" w:hAnsi="Times New Roman"/>
                <w:sz w:val="20"/>
              </w:rPr>
              <w:t xml:space="preserve">23</w:t>
            </w:r>
          </w:p>
        </w:tc>
      </w:tr>
      <w:tr>
        <w:tc>
          <w:tcPr>
            <w:tcW w:w="660" w:type="dxa"/>
            <w:vAlign w:val="top"/>
          </w:tcPr>
          <w:p>
            <w:pPr>
              <w:spacing w:before="0" w:after="0" w:line="240" w:lineRule="exact"/>
              <w:ind w:left="0" w:right="0" w:firstLine="0"/>
              <w:jc w:val="left"/>
            </w:pPr>
            <w:r>
              <w:rPr>
                <w:rFonts w:ascii="Times New Roman" w:hAnsi="Times New Roman"/>
                <w:sz w:val="20"/>
              </w:rPr>
              <w:t xml:space="preserve">19.</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State Government</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20.</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Technology &amp; Economic Development</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21.</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Transportation</w:t>
            </w:r>
            <w:r>
              <w:tab/>
            </w:r>
            <w:r>
              <w:rPr>
                <w:rFonts w:ascii="Times New Roman" w:hAnsi="Times New Roman"/>
                <w:sz w:val="20"/>
              </w:rPr>
              <w:t xml:space="preserve">25</w:t>
            </w:r>
          </w:p>
        </w:tc>
      </w:tr>
    </w:tbl>
    <w:p>
      <w:pPr>
        <w:spacing w:before="120" w:after="0" w:line="240" w:lineRule="exact"/>
        <w:ind w:left="0" w:right="0" w:firstLine="0"/>
        <w:jc w:val="left"/>
      </w:pPr>
      <w:r>
        <w:rPr/>
        <w:t xml:space="preserve">Committee members shall be selected by each party's caucus. Membership on appropriations subcommittees is restricted to the membership of the appropriations committee.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Mailings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mailings at public expense are for legitimate legislative purposes.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4607 adopted by the House of Representatives</w:t>
      </w:r>
    </w:p>
    <w:p>
      <w:pPr>
        <w:spacing w:before="0" w:after="0" w:line="240" w:lineRule="exact"/>
        <w:ind w:left="0" w:right="0" w:firstLine="576"/>
        <w:jc w:val="center"/>
      </w:pPr>
      <w:r>
        <w:rPr/>
        <w:t xml:space="preserve">January 29,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f127b17f74819" /></Relationships>
</file>