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69e0535de4647" /></Relationships>
</file>

<file path=word/document.xml><?xml version="1.0" encoding="utf-8"?>
<w:document xmlns:w="http://schemas.openxmlformats.org/wordprocessingml/2006/main">
  <w:body>
    <w:p>
      <w:r>
        <w:t>S-1608.1</w:t>
      </w:r>
    </w:p>
    <w:p>
      <w:pPr>
        <w:jc w:val="center"/>
      </w:pPr>
      <w:r>
        <w:t>_______________________________________________</w:t>
      </w:r>
    </w:p>
    <w:p/>
    <w:p>
      <w:pPr>
        <w:jc w:val="center"/>
      </w:pPr>
      <w:r>
        <w:rPr>
          <w:b/>
        </w:rPr>
        <w:t>SUBSTITUTE SENATE BILL 5048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Chase, Roach, Hatfield, and Miloscia)</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referendum of assumptions of water-sewer districts by cities and towns; and adding a new section to chapter 35.13A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A resolution or ordinance adopted by the legislative body of a city to assume jurisdiction of all or part of a water-sewer district under this chapter is subject to a referendum. If a city has adopted a resolution or ordinance to assume jurisdiction of all or part of a water-sewer district under this chapter on or after January 1, 2014, the city shall adopt a resolution or ordinance confirming the assumption, which must be treated in the same manner as a resolution or ordinance to assume jurisdiction of all or part of a water-sewer district and is subject to a referendum as described in this section. Any referendum petition to repeal the assumption resolution or ordinance must be filed with the county auditor within ten days of passage of the ordinance. Within ten days of the filing of a petition, the county auditor must confer with the petitioner concerning the form and style of the petition, issue an identification number for the petition, and write a ballot title for the measure. The ballot title must be posed as a question so that an affirmative answer to the question and an affirmative vote on the measure results in approval of the proposed assumption and a negative answer to the question and a negative vote on the measure results in the assumption being barred. The petitioner must be notified of the identification number and ballot title within this ten-day period. After this notification, the petitioner has ninety days in which to secure on petition forms the signatures of at least ten percent of the number of voters residing within the boundaries of the water-sewer district who voted in the last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area of the water-sewer district to be assumed under the ordinance or resolution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the water-sewer district. The city must produce a local voters' pamphlet as provided in RCW 29A.32.210 through 29A.32.280.</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spacing w:before="0" w:after="0" w:line="408" w:lineRule="exact"/>
        <w:ind w:left="0" w:right="0" w:firstLine="576"/>
        <w:jc w:val="left"/>
      </w:pPr>
      <w:r>
        <w:rPr/>
        <w:t xml:space="preserve">(4) The provisions of this section do not apply when a city and a district, through their legislative authorities, authorize a contract or interlocal agreement for the assumption of all or part of a district.</w:t>
      </w:r>
    </w:p>
    <w:p/>
    <w:p>
      <w:pPr>
        <w:jc w:val="center"/>
      </w:pPr>
      <w:r>
        <w:rPr>
          <w:b/>
        </w:rPr>
        <w:t>--- END ---</w:t>
      </w:r>
    </w:p>
    <w:sectPr>
      <w:pgNumType w:start="1"/>
      <w:footerReference xmlns:r="http://schemas.openxmlformats.org/officeDocument/2006/relationships" r:id="R1f9d9c60a9ea43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603b90d53421e" /><Relationship Type="http://schemas.openxmlformats.org/officeDocument/2006/relationships/footer" Target="/word/footer.xml" Id="R1f9d9c60a9ea434c" /></Relationships>
</file>