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f6c2335c0947a2" /></Relationships>
</file>

<file path=word/document.xml><?xml version="1.0" encoding="utf-8"?>
<w:document xmlns:w="http://schemas.openxmlformats.org/wordprocessingml/2006/main">
  <w:body>
    <w:p>
      <w:r>
        <w:t>S-0406.2</w:t>
      </w:r>
    </w:p>
    <w:p>
      <w:pPr>
        <w:jc w:val="center"/>
      </w:pPr>
      <w:r>
        <w:t>_______________________________________________</w:t>
      </w:r>
    </w:p>
    <w:p/>
    <w:p>
      <w:pPr>
        <w:jc w:val="center"/>
      </w:pPr>
      <w:r>
        <w:rPr>
          <w:b/>
        </w:rPr>
        <w:t>SENATE BILL 5057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Ericksen</w:t>
      </w:r>
    </w:p>
    <w:p/>
    <w:p>
      <w:r>
        <w:rPr>
          <w:t xml:space="preserve">Prefiled 01/08/15.</w:t>
        </w:rPr>
      </w:r>
      <w:r>
        <w:rPr>
          <w:t xml:space="preserve">Read first time 01/12/15.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transport of hazardous materials; amending RCW 82.23B.010, 82.23B.020, 82.23B.030, 82.23B.040, 88.40.011, 90.56.010, 81.53.240, and 38.52.070; reenacting and amending RCW 88.46.010 and 38.52.040; adding a new section to chapter 90.56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w:t>
      </w:r>
      <w:r>
        <w:rPr>
          <w:u w:val="single"/>
        </w:rPr>
        <w:t xml:space="preserve">"Bulk oil terminal" means a facility of any kind, other than a waterborne vessel, that is used for transferring crude oil from a tank car.</w:t>
      </w:r>
      <w:r>
        <w:rPr>
          <w:u w:val="single"/>
        </w:rPr>
        <w:t xml:space="preserve">(3)</w:t>
      </w:r>
      <w:r>
        <w:rPr/>
        <w:t xml:space="preserve">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"Department" means the department of revenue.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"Person" has the meaning provided in RCW 82.04.030.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 "Tank car" means a rail car, the body of which consists of a tank for transporting liquids.</w:t>
      </w: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spacing w:before="0" w:after="0" w:line="408" w:lineRule="exact"/>
        <w:ind w:left="0" w:right="0" w:firstLine="576"/>
        <w:jc w:val="left"/>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local governments, the United States government, Canadian provinces, Canada, and other appropriate stakeholders. The symposium must at a minimum address:</w:t>
      </w:r>
    </w:p>
    <w:p>
      <w:pPr>
        <w:spacing w:before="0" w:after="0" w:line="408" w:lineRule="exact"/>
        <w:ind w:left="0" w:right="0" w:firstLine="576"/>
        <w:jc w:val="left"/>
      </w:pPr>
      <w:r>
        <w:rPr/>
        <w:t xml:space="preserve">(1) Cooperative prevention and emergency response activities between the shared international and state borders;</w:t>
      </w:r>
    </w:p>
    <w:p>
      <w:pPr>
        <w:spacing w:before="0" w:after="0" w:line="408" w:lineRule="exact"/>
        <w:ind w:left="0" w:right="0" w:firstLine="576"/>
        <w:jc w:val="left"/>
      </w:pPr>
      <w:r>
        <w:rPr/>
        <w:t xml:space="preserve">(2) Expected risks posed by transport of Canadian crude oil or liquid bulk crude oil throughout the Pacific Northwest region; and</w:t>
      </w:r>
    </w:p>
    <w:p>
      <w:pPr>
        <w:spacing w:before="0" w:after="0" w:line="408" w:lineRule="exact"/>
        <w:ind w:left="0" w:right="0" w:firstLine="576"/>
        <w:jc w:val="left"/>
      </w:pPr>
      <w:r>
        <w:rPr/>
        <w:t xml:space="preserve">(3) An update of the marine transport of liquid bulk crude oil through the Pacific Northwest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ten million dollars, or as much thereof as may be necessary, is appropriated for the biennium ending June 30, 2017, from the model toxics control account to the department of ecology for the purposes of providing grants for equipment and training for first responders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2b862e7b01149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1229f490441e3" /><Relationship Type="http://schemas.openxmlformats.org/officeDocument/2006/relationships/footer" Target="/word/footer.xml" Id="Rd2b862e7b011497b" /></Relationships>
</file>