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b9a2eb955d42b7" /></Relationships>
</file>

<file path=word/document.xml><?xml version="1.0" encoding="utf-8"?>
<w:document xmlns:w="http://schemas.openxmlformats.org/wordprocessingml/2006/main">
  <w:body>
    <w:p>
      <w:r>
        <w:t>S-0124.1</w:t>
      </w:r>
    </w:p>
    <w:p>
      <w:pPr>
        <w:jc w:val="center"/>
      </w:pPr>
      <w:r>
        <w:t>_______________________________________________</w:t>
      </w:r>
    </w:p>
    <w:p/>
    <w:p>
      <w:pPr>
        <w:jc w:val="center"/>
      </w:pPr>
      <w:r>
        <w:rPr>
          <w:b/>
        </w:rPr>
        <w:t>SENATE BILL 5122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Frockt, Liias, Bailey, and McAuliffe</w:t>
      </w:r>
    </w:p>
    <w:p/>
    <w:p>
      <w:r>
        <w:rPr>
          <w:t xml:space="preserve">Read first time 01/14/15.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precollege placement measures; amending RCW 28B.77.020;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10</w:t>
      </w:r>
      <w:r>
        <w:rPr/>
        <w:t xml:space="preserve"> RCW to read as follows:</w:t>
      </w:r>
    </w:p>
    <w:p>
      <w:pPr>
        <w:spacing w:before="0" w:after="0" w:line="408" w:lineRule="exact"/>
        <w:ind w:left="0" w:right="0" w:firstLine="576"/>
        <w:jc w:val="left"/>
      </w:pPr>
      <w:r>
        <w:rPr/>
        <w:t xml:space="preserve">State universities, regional universities, and The Evergreen State College may use multiple measures to determine whether a student must enroll in a precollege course including, but not limited to, placement tests, the SAT, high school transcripts, college transcripts, or initial class performance. Additionally, state universities, regional universities, and The Evergreen State College must post all the available options for course placement on their web sites and in their admissions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2013 2nd sp.s. c 25 s 6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Higher education finance planning and strategic investments including budget recommendations necessary to meet statewide goals;</w:t>
      </w:r>
    </w:p>
    <w:p>
      <w:pPr>
        <w:spacing w:before="0" w:after="0" w:line="408" w:lineRule="exact"/>
        <w:ind w:left="0" w:right="0" w:firstLine="576"/>
        <w:jc w:val="left"/>
      </w:pPr>
      <w:r>
        <w:rPr/>
        <w:t xml:space="preserve">(d) System design and coordination;</w:t>
      </w:r>
    </w:p>
    <w:p>
      <w:pPr>
        <w:spacing w:before="0" w:after="0" w:line="408" w:lineRule="exact"/>
        <w:ind w:left="0" w:right="0" w:firstLine="576"/>
        <w:jc w:val="left"/>
      </w:pPr>
      <w:r>
        <w:rPr/>
        <w:t xml:space="preserve">(e) Improving student transitions;</w:t>
      </w:r>
    </w:p>
    <w:p>
      <w:pPr>
        <w:spacing w:before="0" w:after="0" w:line="408" w:lineRule="exact"/>
        <w:ind w:left="0" w:right="0" w:firstLine="576"/>
        <w:jc w:val="left"/>
      </w:pPr>
      <w:r>
        <w:rPr/>
        <w:t xml:space="preserve">(f)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rPr/>
        <w:t xml:space="preserve">(g) College and career access preparedness, in collaboration with the office of the superintendent of public instruction and the state board of education;</w:t>
      </w:r>
    </w:p>
    <w:p>
      <w:pPr>
        <w:spacing w:before="0" w:after="0" w:line="408" w:lineRule="exact"/>
        <w:ind w:left="0" w:right="0" w:firstLine="576"/>
        <w:jc w:val="left"/>
      </w:pPr>
      <w:r>
        <w:rPr/>
        <w:t xml:space="preserve">(h) Expanding participation and success for racial and ethnic minorities in higher education;</w:t>
      </w:r>
    </w:p>
    <w:p>
      <w:pPr>
        <w:spacing w:before="0" w:after="0" w:line="408" w:lineRule="exact"/>
        <w:ind w:left="0" w:right="0" w:firstLine="576"/>
        <w:jc w:val="left"/>
      </w:pPr>
      <w:r>
        <w:rPr/>
        <w:t xml:space="preserve">(i)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(j)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rPr/>
        <w:t xml:space="preserve">(k)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w:t>
      </w:r>
      <w:r>
        <w:rPr>
          <w:u w:val="single"/>
        </w:rPr>
        <w:t xml:space="preserve">:</w:t>
      </w:r>
    </w:p>
    <w:p>
      <w:pPr>
        <w:spacing w:before="0" w:after="0" w:line="408" w:lineRule="exact"/>
        <w:ind w:left="0" w:right="0" w:firstLine="576"/>
        <w:jc w:val="left"/>
      </w:pPr>
      <w:r>
        <w:rPr>
          <w:u w:val="single"/>
        </w:rPr>
        <w:t xml:space="preserve">(i) A</w:t>
      </w:r>
      <w:r>
        <w:rPr/>
        <w:t xml:space="preserve"> requirement that coursework in American sign language or an American Indian language satisfies any requirement for instruction in a language other than English that the council or the institutions may establish as a general undergraduate admissions requirement; </w:t>
      </w:r>
      <w:r>
        <w:rPr>
          <w:u w:val="single"/>
        </w:rPr>
        <w:t xml:space="preserve">and</w:t>
      </w:r>
    </w:p>
    <w:p>
      <w:pPr>
        <w:spacing w:before="0" w:after="0" w:line="408" w:lineRule="exact"/>
        <w:ind w:left="0" w:right="0" w:firstLine="576"/>
        <w:jc w:val="left"/>
      </w:pPr>
      <w:r>
        <w:rPr>
          <w:u w:val="single"/>
        </w:rPr>
        <w:t xml:space="preserve">(ii) Encouragement of the use of multiple measures to determine whether a student must enroll in a precollege course, such as placement tests, the SAT, high school transcripts, college transcripts, or initial class performance;</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state need grant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state need grant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state need grant as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state need grant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state need grants, impacts on meeting the state's higher education goals for educational attainment, and options for prioritization of the state need grant and possible consequences of implementing each option. When examining options for prioritizing the state need grant the council shall consider awarding grants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
      <w:pPr>
        <w:jc w:val="center"/>
      </w:pPr>
      <w:r>
        <w:rPr>
          <w:b/>
        </w:rPr>
        <w:t>--- END ---</w:t>
      </w:r>
    </w:p>
    <w:sectPr>
      <w:pgNumType w:start="1"/>
      <w:footerReference xmlns:r="http://schemas.openxmlformats.org/officeDocument/2006/relationships" r:id="R47bd7f376d8441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b47acc00684355" /><Relationship Type="http://schemas.openxmlformats.org/officeDocument/2006/relationships/footer" Target="/word/footer.xml" Id="R47bd7f376d844185" /></Relationships>
</file>