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056d495994440" /></Relationships>
</file>

<file path=word/document.xml><?xml version="1.0" encoding="utf-8"?>
<w:document xmlns:w="http://schemas.openxmlformats.org/wordprocessingml/2006/main">
  <w:body>
    <w:p>
      <w:r>
        <w:t>S-0708.1</w:t>
      </w:r>
    </w:p>
    <w:p>
      <w:pPr>
        <w:jc w:val="center"/>
      </w:pPr>
      <w:r>
        <w:t>_______________________________________________</w:t>
      </w:r>
    </w:p>
    <w:p/>
    <w:p>
      <w:pPr>
        <w:jc w:val="center"/>
      </w:pPr>
      <w:r>
        <w:rPr>
          <w:b/>
        </w:rPr>
        <w:t>SENATE BILL 5206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Miloscia, Bailey, Braun, Padden, Hewitt, Hill, Dammeier, Honeyford, and Parlette</w:t>
      </w:r>
    </w:p>
    <w:p/>
    <w:p>
      <w:r>
        <w:rPr>
          <w:t xml:space="preserve">Read first time 01/15/15.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41.06.142;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governor, the state auditor, the office of financial management,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Within six months of receipt of a notification under subsection (2) of this section, the office of financial management shall issue a request for bids or a request for proposals to contract with a public or private entity to perform the function that is the subject of the audit finding of noncompliance with state law. The subject state agency is barred from submitting a proposal or bid for the contract. Within six months of the issuance of the request, the office of financial management shall award the contract and supervise its administration. The cost of the contract shall be borne by the subject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The invitation for bid or request for proposal contains measurable standards for the performance of the contract;</w:t>
      </w:r>
    </w:p>
    <w:p>
      <w:pPr>
        <w:spacing w:before="0" w:after="0" w:line="408" w:lineRule="exact"/>
        <w:ind w:left="0" w:right="0" w:firstLine="576"/>
        <w:jc w:val="left"/>
      </w:pPr>
      <w:r>
        <w:rPr/>
        <w:t xml:space="preserve">(b) Employees in the classified service whose positions or work would be displaced by the contract are provided an opportunity to offer alternatives to purchasing services by contract and, if these alternatives are not accepted, compete for the contract under competitive contracting procedures in subsection (4) of this section;</w:t>
      </w:r>
    </w:p>
    <w:p>
      <w:pPr>
        <w:spacing w:before="0" w:after="0" w:line="408" w:lineRule="exact"/>
        <w:ind w:left="0" w:right="0" w:firstLine="576"/>
        <w:jc w:val="left"/>
      </w:pPr>
      <w:r>
        <w:rPr/>
        <w:t xml:space="preserve">(c) The contract with an entity other than an employee business unit includes a provision requiring the entity to consider employment of state employees who may be displaced by the contract;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must consider the consequences and potential mitigation of improper or failed performance by the contractor.</w:t>
      </w:r>
    </w:p>
    <w:p>
      <w:pPr>
        <w:spacing w:before="0" w:after="0" w:line="408" w:lineRule="exact"/>
        <w:ind w:left="0" w:right="0" w:firstLine="576"/>
        <w:jc w:val="left"/>
      </w:pPr>
      <w:r>
        <w:rPr/>
        <w:t xml:space="preserve">(2)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p>
    <w:p>
      <w:pPr>
        <w:spacing w:before="0" w:after="0" w:line="408" w:lineRule="exact"/>
        <w:ind w:left="0" w:right="0" w:firstLine="576"/>
        <w:jc w:val="left"/>
      </w:pPr>
      <w:r>
        <w:rPr/>
        <w:t xml:space="preserve">(4)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classified employees, the contracting agency shall notify the classified employees whose positions or work would be displaced by the contract. The employees shall have sixty days from the date of notification to offer alternatives to purchasing services by contract, and the agency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to receive complaints regarding the bidding process and to consider them before awarding the contract. Appeal of an agency's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(4)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classified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(6) The processes set forth in subsections (1), (4), and (5) of this section do not apply to:</w:t>
      </w:r>
    </w:p>
    <w:p>
      <w:pPr>
        <w:spacing w:before="0" w:after="0" w:line="408" w:lineRule="exact"/>
        <w:ind w:left="0" w:right="0" w:firstLine="576"/>
        <w:jc w:val="left"/>
      </w:pPr>
      <w:r>
        <w:rPr/>
        <w:t xml:space="preserve">(a) RCW 74.13.031</w:t>
      </w:r>
      <w:r>
        <w:t>((</w:t>
      </w:r>
      <w:r>
        <w:rPr>
          <w:strike/>
        </w:rPr>
        <w:t xml:space="preserve">(5)</w:t>
      </w:r>
      <w:r>
        <w:t>))</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w:t>
      </w:r>
      <w:r>
        <w:t>((</w:t>
      </w:r>
      <w:r>
        <w:rPr>
          <w:strike/>
        </w:rPr>
        <w:t xml:space="preserve">and</w:t>
      </w:r>
      <w:r>
        <w:t>))</w:t>
      </w:r>
    </w:p>
    <w:p>
      <w:pPr>
        <w:spacing w:before="0" w:after="0" w:line="408" w:lineRule="exact"/>
        <w:ind w:left="0" w:right="0" w:firstLine="576"/>
        <w:jc w:val="left"/>
      </w:pPr>
      <w:r>
        <w:rPr/>
        <w:t xml:space="preserve">(c) Contracting for services or activities by the department of enterprise services under RCW 43.19.008 and the department may continue to contract for such services and activities after June 30, 2018</w:t>
      </w:r>
      <w:r>
        <w:rPr>
          <w:u w:val="single"/>
        </w:rPr>
        <w:t xml:space="preserve">; and</w:t>
      </w:r>
    </w:p>
    <w:p>
      <w:pPr>
        <w:spacing w:before="0" w:after="0" w:line="408" w:lineRule="exact"/>
        <w:ind w:left="0" w:right="0" w:firstLine="576"/>
        <w:jc w:val="left"/>
      </w:pPr>
      <w:r>
        <w:rPr>
          <w:u w:val="single"/>
        </w:rPr>
        <w:t xml:space="preserve">(d) Contracting for services and activities pursuant to section 2 of this act</w:t>
      </w:r>
      <w:r>
        <w:rPr/>
        <w:t xml:space="preserve">.</w:t>
      </w:r>
    </w:p>
    <w:p>
      <w:pPr>
        <w:spacing w:before="0" w:after="0" w:line="408" w:lineRule="exact"/>
        <w:ind w:left="0" w:right="0" w:firstLine="576"/>
        <w:jc w:val="left"/>
      </w:pPr>
      <w:r>
        <w:rPr/>
        <w:t xml:space="preserve">(7) The processes set forth in subsections (1), (4), and (5)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43.41A.070.</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43.41A.070.</w:t>
      </w:r>
    </w:p>
    <w:p/>
    <w:p>
      <w:pPr>
        <w:jc w:val="center"/>
      </w:pPr>
      <w:r>
        <w:rPr>
          <w:b/>
        </w:rPr>
        <w:t>--- END ---</w:t>
      </w:r>
    </w:p>
    <w:sectPr>
      <w:pgNumType w:start="1"/>
      <w:footerReference xmlns:r="http://schemas.openxmlformats.org/officeDocument/2006/relationships" r:id="Re004cf25ee604a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22fa04f6543b1" /><Relationship Type="http://schemas.openxmlformats.org/officeDocument/2006/relationships/footer" Target="/word/footer.xml" Id="Re004cf25ee604ad5" /></Relationships>
</file>