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0ed2f6e7d348ec" /></Relationships>
</file>

<file path=word/document.xml><?xml version="1.0" encoding="utf-8"?>
<w:document xmlns:w="http://schemas.openxmlformats.org/wordprocessingml/2006/main">
  <w:body>
    <w:p>
      <w:r>
        <w:t>S-1471.1</w:t>
      </w:r>
    </w:p>
    <w:p>
      <w:pPr>
        <w:jc w:val="center"/>
      </w:pPr>
      <w:r>
        <w:t>_______________________________________________</w:t>
      </w:r>
    </w:p>
    <w:p/>
    <w:p>
      <w:pPr>
        <w:jc w:val="center"/>
      </w:pPr>
      <w:r>
        <w:rPr>
          <w:b/>
        </w:rPr>
        <w:t>SUBSTITUTE SENATE BILL 5245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Dammeier, Kohl-Welles, McAuliffe, Angel, and Conway; by request of Department of Social and Health Services)</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abuse prevention and treatment programs funded by the marijuana excise tax; amending RCW 69.50.540;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(Initiative Measure No. 502) are each amended to read as follows:</w:t>
      </w:r>
    </w:p>
    <w:p>
      <w:pPr>
        <w:spacing w:before="0" w:after="0" w:line="408" w:lineRule="exact"/>
        <w:ind w:left="0" w:right="0" w:firstLine="576"/>
        <w:jc w:val="left"/>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to the state liquor control board as is necessary for administration of chapter 3, Laws of 2013;</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w:t>
      </w:r>
      <w:r>
        <w:rPr>
          <w:u w:val="single"/>
        </w:rPr>
        <w:t xml:space="preserve">the development,</w:t>
      </w:r>
      <w:r>
        <w:rPr/>
        <w:t xml:space="preserve"> implementation </w:t>
      </w:r>
      <w:r>
        <w:t>((</w:t>
      </w:r>
      <w:r>
        <w:rPr>
          <w:strike/>
        </w:rPr>
        <w:t xml:space="preserve">and</w:t>
      </w:r>
      <w:r>
        <w:t>))</w:t>
      </w:r>
      <w:r>
        <w:rPr>
          <w:u w:val="single"/>
        </w:rPr>
        <w:t xml:space="preserve">,</w:t>
      </w:r>
      <w:r>
        <w:rPr/>
        <w:t xml:space="preserve"> maintenance</w:t>
      </w:r>
      <w:r>
        <w:rPr>
          <w:u w:val="single"/>
        </w:rPr>
        <w:t xml:space="preserv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w:t>
      </w:r>
      <w:r>
        <w:t>((</w:t>
      </w:r>
      <w:r>
        <w:rPr>
          <w:strike/>
        </w:rPr>
        <w:t xml:space="preserve">and cost-beneficial</w:t>
      </w:r>
      <w:r>
        <w:t>))</w:t>
      </w:r>
      <w:r>
        <w:rPr/>
        <w:t xml:space="preserve"> programs and practices that produce objectively measurable results </w:t>
      </w:r>
      <w:r>
        <w:rPr>
          <w:u w:val="single"/>
        </w:rPr>
        <w:t xml:space="preserve">and, by September 1, 2020, are cost-beneficial</w:t>
      </w:r>
      <w:r>
        <w:rPr/>
        <w:t xml:space="preserve">; and</w:t>
      </w:r>
    </w:p>
    <w:p>
      <w:pPr>
        <w:spacing w:before="0" w:after="0" w:line="408" w:lineRule="exact"/>
        <w:ind w:left="0" w:right="0" w:firstLine="576"/>
        <w:jc w:val="left"/>
      </w:pPr>
      <w:r>
        <w:rPr/>
        <w:t xml:space="preserve">(ii) Up to fifteen percent of the funds disbursed under (a)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The remainder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in consultation with the Washington state institute for public policy, the University of Washington social development research group, and faculty from Washington State University, must determine a definition of cost-beneficial as it relates to prevention and treatment programming and submit a report to the legislature on its findings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df9a79e2594a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7fc339eecc4cf7" /><Relationship Type="http://schemas.openxmlformats.org/officeDocument/2006/relationships/footer" Target="/word/footer.xml" Id="Rd9df9a79e2594a94" /></Relationships>
</file>