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e8925d7254b1f" /></Relationships>
</file>

<file path=word/document.xml><?xml version="1.0" encoding="utf-8"?>
<w:document xmlns:w="http://schemas.openxmlformats.org/wordprocessingml/2006/main">
  <w:body>
    <w:p>
      <w:r>
        <w:t>S-0778.1</w:t>
      </w:r>
    </w:p>
    <w:p>
      <w:pPr>
        <w:jc w:val="center"/>
      </w:pPr>
      <w:r>
        <w:t>_______________________________________________</w:t>
      </w:r>
    </w:p>
    <w:p/>
    <w:p>
      <w:pPr>
        <w:jc w:val="center"/>
      </w:pPr>
      <w:r>
        <w:rPr>
          <w:b/>
        </w:rPr>
        <w:t>SENATE BILL 5279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Jayapal, Hill, Frockt, Keiser, Conway, and Chase</w:t>
      </w:r>
    </w:p>
    <w:p/>
    <w:p>
      <w:r>
        <w:rPr>
          <w:t xml:space="preserve">Read first time 01/16/15.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lean management and performance management strategies for economic and revenue forecasts; amending RCW 82.33.060; and reenacting and amending RCW 82.33.020.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2012 1st sp.s. c 8 s 3 and 2012 c 182 s 1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w:t>
      </w:r>
      <w:r>
        <w:t>((</w:t>
      </w:r>
      <w:r>
        <w:rPr>
          <w:strike/>
        </w:rPr>
        <w:t xml:space="preserve">shall</w:t>
      </w:r>
      <w:r>
        <w:t>))</w:t>
      </w:r>
      <w:r>
        <w:rPr>
          <w:u w:val="single"/>
        </w:rPr>
        <w:t xml:space="preserve">must</w:t>
      </w:r>
      <w:r>
        <w:rPr/>
        <w:t xml:space="preserve">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w:t>
      </w:r>
      <w:r>
        <w:rPr>
          <w:u w:val="single"/>
        </w:rPr>
        <w:t xml:space="preserve">As part of its forecasts under subsection (1) of this section, the supervisor must provide estimated savings resulting from application of lean management and performance management strategies at state agencies.</w:t>
      </w:r>
    </w:p>
    <w:p>
      <w:pPr>
        <w:spacing w:before="0" w:after="0" w:line="408" w:lineRule="exact"/>
        <w:ind w:left="0" w:right="0" w:firstLine="576"/>
        <w:jc w:val="left"/>
      </w:pP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w:t>
      </w:r>
      <w:r>
        <w:t>((</w:t>
      </w:r>
      <w:r>
        <w:rPr>
          <w:strike/>
        </w:rPr>
        <w:t xml:space="preserve">shall</w:t>
      </w:r>
      <w:r>
        <w:t>))</w:t>
      </w:r>
      <w:r>
        <w:rPr>
          <w:u w:val="single"/>
        </w:rPr>
        <w:t xml:space="preserve">must</w:t>
      </w:r>
      <w:r>
        <w:rPr/>
        <w:t xml:space="preserve">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w:t>
      </w:r>
      <w:r>
        <w:t>((</w:t>
      </w:r>
      <w:r>
        <w:rPr>
          <w:strike/>
        </w:rPr>
        <w:t xml:space="preserve">shall</w:t>
      </w:r>
      <w:r>
        <w:t>))</w:t>
      </w:r>
      <w:r>
        <w:rPr>
          <w:u w:val="single"/>
        </w:rPr>
        <w:t xml:space="preserve">must</w:t>
      </w:r>
      <w:r>
        <w:rPr/>
        <w:t xml:space="preserve"> be the current fiscal biennium and the next ensuing fiscal biennium. In even</w:t>
      </w:r>
      <w:r>
        <w:rPr/>
        <w:noBreakHyphen/>
      </w:r>
      <w:r>
        <w:rPr/>
        <w:t xml:space="preserve">numbered years, the period covered by the November state budget outlook </w:t>
      </w:r>
      <w:r>
        <w:t>((</w:t>
      </w:r>
      <w:r>
        <w:rPr>
          <w:strike/>
        </w:rPr>
        <w:t xml:space="preserve">shall</w:t>
      </w:r>
      <w:r>
        <w:t>))</w:t>
      </w:r>
      <w:r>
        <w:rPr>
          <w:u w:val="single"/>
        </w:rPr>
        <w:t xml:space="preserve">must</w:t>
      </w:r>
      <w:r>
        <w:rPr/>
        <w:t xml:space="preserve">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w:t>
      </w:r>
      <w:r>
        <w:t>((</w:t>
      </w:r>
      <w:r>
        <w:rPr>
          <w:strike/>
        </w:rPr>
        <w:t xml:space="preserve">and</w:t>
      </w:r>
      <w:r>
        <w:t>))</w:t>
      </w:r>
    </w:p>
    <w:p>
      <w:pPr>
        <w:spacing w:before="0" w:after="0" w:line="408" w:lineRule="exact"/>
        <w:ind w:left="0" w:right="0" w:firstLine="576"/>
        <w:jc w:val="left"/>
      </w:pPr>
      <w:r>
        <w:rPr/>
        <w:t xml:space="preserve">(e) Include the impact of previously enacted legislation with a future implementation date</w:t>
      </w:r>
      <w:r>
        <w:rPr>
          <w:u w:val="single"/>
        </w:rPr>
        <w:t xml:space="preserve">; and</w:t>
      </w:r>
    </w:p>
    <w:p>
      <w:pPr>
        <w:spacing w:before="0" w:after="0" w:line="408" w:lineRule="exact"/>
        <w:ind w:left="0" w:right="0" w:firstLine="576"/>
        <w:jc w:val="left"/>
      </w:pPr>
      <w:r>
        <w:rPr>
          <w:u w:val="single"/>
        </w:rPr>
        <w:t xml:space="preserve">(f) Clearly state the savings resulting from application of lean management and performance management strategies at state agencies</w:t>
      </w:r>
      <w:r>
        <w:rPr/>
        <w:t xml:space="preserv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w:t>
      </w:r>
      <w:r>
        <w:t>((</w:t>
      </w:r>
      <w:r>
        <w:rPr>
          <w:strike/>
        </w:rPr>
        <w:t xml:space="preserve">shall</w:t>
      </w:r>
      <w:r>
        <w:t>))</w:t>
      </w:r>
      <w:r>
        <w:rPr>
          <w:u w:val="single"/>
        </w:rPr>
        <w:t xml:space="preserve">must</w:t>
      </w:r>
      <w:r>
        <w:rPr/>
        <w:t xml:space="preserve">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w:t>
      </w:r>
      <w:r>
        <w:t>((</w:t>
      </w:r>
      <w:r>
        <w:rPr>
          <w:strike/>
        </w:rPr>
        <w:t xml:space="preserve">shall</w:t>
      </w:r>
      <w:r>
        <w:t>))</w:t>
      </w:r>
      <w:r>
        <w:rPr>
          <w:u w:val="single"/>
        </w:rPr>
        <w:t xml:space="preserve">must</w:t>
      </w:r>
      <w:r>
        <w:rPr/>
        <w:t xml:space="preserve">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w:t>
      </w:r>
      <w:r>
        <w:t>((</w:t>
      </w:r>
      <w:r>
        <w:rPr>
          <w:strike/>
        </w:rPr>
        <w:t xml:space="preserve">shall</w:t>
      </w:r>
      <w:r>
        <w:t>))</w:t>
      </w:r>
      <w:r>
        <w:rPr>
          <w:u w:val="single"/>
        </w:rPr>
        <w:t xml:space="preserve">must</w:t>
      </w:r>
      <w:r>
        <w:rPr/>
        <w:t xml:space="preserve">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w:t>
      </w:r>
      <w:r>
        <w:t>((</w:t>
      </w:r>
      <w:r>
        <w:rPr>
          <w:strike/>
        </w:rPr>
        <w:t xml:space="preserve">shall</w:t>
      </w:r>
      <w:r>
        <w:t>))</w:t>
      </w:r>
      <w:r>
        <w:rPr>
          <w:u w:val="single"/>
        </w:rPr>
        <w:t xml:space="preserve">must</w:t>
      </w:r>
      <w:r>
        <w:rPr/>
        <w:t xml:space="preserve">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
      <w:pPr>
        <w:jc w:val="center"/>
      </w:pPr>
      <w:r>
        <w:rPr>
          <w:b/>
        </w:rPr>
        <w:t>--- END ---</w:t>
      </w:r>
    </w:p>
    <w:sectPr>
      <w:pgNumType w:start="1"/>
      <w:footerReference xmlns:r="http://schemas.openxmlformats.org/officeDocument/2006/relationships" r:id="R65a3e163ec3142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832b00011f47aa" /><Relationship Type="http://schemas.openxmlformats.org/officeDocument/2006/relationships/footer" Target="/word/footer.xml" Id="R65a3e163ec314274" /></Relationships>
</file>