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2bad279eb4ff6" /></Relationships>
</file>

<file path=word/document.xml><?xml version="1.0" encoding="utf-8"?>
<w:document xmlns:w="http://schemas.openxmlformats.org/wordprocessingml/2006/main">
  <w:body>
    <w:p>
      <w:r>
        <w:t>S-1545.2</w:t>
      </w:r>
    </w:p>
    <w:p>
      <w:pPr>
        <w:jc w:val="center"/>
      </w:pPr>
      <w:r>
        <w:t>_______________________________________________</w:t>
      </w:r>
    </w:p>
    <w:p/>
    <w:p>
      <w:pPr>
        <w:jc w:val="center"/>
      </w:pPr>
      <w:r>
        <w:rPr>
          <w:b/>
        </w:rPr>
        <w:t>SUBSTITUTE SENATE BILL 5311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Rolfes, O'Ban, Frockt, Darneille, Keiser, McCoy, Kohl-Welles, Hasegawa, and Jayapal)</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general authority Washington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general authority Washington peace officers who are certified after July 1, 2017, complete a two-hour online crisis intervention course as part of the annual training required by the commission for all full-time, general authority Washington peace officers employed by a general authority Washington law enforcement agency.</w:t>
      </w:r>
    </w:p>
    <w:p>
      <w:pPr>
        <w:spacing w:before="0" w:after="0" w:line="408" w:lineRule="exact"/>
        <w:ind w:left="0" w:right="0" w:firstLine="576"/>
        <w:jc w:val="left"/>
      </w:pPr>
      <w:r>
        <w:rPr/>
        <w:t xml:space="preserve">(b) Each full-time general authority Washington peace officer certified before July 1, 2017, receives crisis intervention training by July 1, 2019.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aim for at least twenty-five percent of all full-time, general authority Washington peace officers assigned to patrol duties to have received enhanced crisis intervention training by December 1, 2019. The training shall be comprised of forty hours of commission-certified training.</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general authority Washington law enforcement agencies to reimburse those law enforcement agencies for the cost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full-time, general authority Washington peace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7eaa69a4ee3f43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22ad0eec204522" /><Relationship Type="http://schemas.openxmlformats.org/officeDocument/2006/relationships/footer" Target="/word/footer.xml" Id="R7eaa69a4ee3f4373" /></Relationships>
</file>