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717bbd18b480a" /></Relationships>
</file>

<file path=word/document.xml><?xml version="1.0" encoding="utf-8"?>
<w:document xmlns:w="http://schemas.openxmlformats.org/wordprocessingml/2006/main">
  <w:body>
    <w:p>
      <w:r>
        <w:t>S-0392.1</w:t>
      </w:r>
    </w:p>
    <w:p>
      <w:pPr>
        <w:jc w:val="center"/>
      </w:pPr>
      <w:r>
        <w:t>_______________________________________________</w:t>
      </w:r>
    </w:p>
    <w:p/>
    <w:p>
      <w:pPr>
        <w:jc w:val="center"/>
      </w:pPr>
      <w:r>
        <w:rPr>
          <w:b/>
        </w:rPr>
        <w:t>SENATE BILL 5325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Litzow, Liias, Fain, and Ericksen</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alternative fuel commercial use vehicles with tax preferences; adding a new section to chapter 82.08 RCW; adding a new section to chapter 82.12 RCW; adding a new section to chapter 82.04 RCW; adding a new section to chapter 82.16 RCW; creating a new section;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Legislative Findings and Tax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known and may be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exemptions and credits provided in sections 2 through 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sales and use tax exemption and credits to the business and occupation and public utility taxes to increase sales of commercial vehicles that use clean alternative fuel vehicles by ten percent by 2026.</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240" w:after="0" w:line="408" w:lineRule="exact"/>
        <w:ind w:left="0" w:right="0" w:firstLine="576"/>
        <w:jc w:val="center"/>
      </w:pPr>
      <w:r>
        <w:rPr>
          <w:b/>
        </w:rPr>
        <w:t xml:space="preserve">Sales and Use Tax Exemptions on Commercial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tax levied by RCW 82.08.020 does not apply to sales of new commercial vehicles, which are sold with propulsion units that can be principally powered by a clean alternative fuel.</w:t>
      </w:r>
    </w:p>
    <w:p>
      <w:pPr>
        <w:spacing w:before="0" w:after="0" w:line="408" w:lineRule="exact"/>
        <w:ind w:left="0" w:right="0" w:firstLine="576"/>
        <w:jc w:val="left"/>
      </w:pPr>
      <w:r>
        <w:rPr/>
        <w:t xml:space="preserve">(b) The tax levied by RCW 82.08.020 does not apply to sales of qualifying used commercial vehicles, which were modified after the initial purchase, with a United States environmental protection agency certified conversion that would allow the propulsion units to be principally powered by a clean alternative fuel. </w:t>
      </w:r>
    </w:p>
    <w:p>
      <w:pPr>
        <w:spacing w:before="0" w:after="0" w:line="408" w:lineRule="exact"/>
        <w:ind w:left="0" w:right="0" w:firstLine="576"/>
        <w:jc w:val="left"/>
      </w:pPr>
      <w:r>
        <w:rPr/>
        <w:t xml:space="preserve">(c) The tax levied by RCW 82.08.020 does not apply to costs to modify a commercial vehicle as described in (b) of this subsection. Costs include sales of tangible personal property that are incorporated into the vehicle and to sales of, or charges made for, labor and services used to modify the vehicle.</w:t>
      </w:r>
    </w:p>
    <w:p>
      <w:pPr>
        <w:spacing w:before="0" w:after="0" w:line="408" w:lineRule="exact"/>
        <w:ind w:left="0" w:right="0" w:firstLine="576"/>
        <w:jc w:val="left"/>
      </w:pPr>
      <w:r>
        <w:rPr/>
        <w:t xml:space="preserve">(2) The department must provide a separate tax reporting line for exemption amounts claimed under this section.  </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gasohol with at least twenty percent denatured alcohol content, hydrogen, hythane, methane, methanol,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 and</w:t>
      </w:r>
    </w:p>
    <w:p>
      <w:pPr>
        <w:spacing w:before="0" w:after="0" w:line="408" w:lineRule="exact"/>
        <w:ind w:left="0" w:right="0" w:firstLine="576"/>
        <w:jc w:val="left"/>
      </w:pPr>
      <w:r>
        <w:rPr/>
        <w:t xml:space="preserve">(iii) Are being sold for the first time after modification.</w:t>
      </w:r>
    </w:p>
    <w:p>
      <w:pPr>
        <w:spacing w:before="0" w:after="0" w:line="408" w:lineRule="exact"/>
        <w:ind w:left="0" w:right="0" w:firstLine="576"/>
        <w:jc w:val="left"/>
      </w:pPr>
      <w:r>
        <w:rPr/>
        <w:t xml:space="preserve">(4)(a)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exemptions provided under this section from the multimodal transportation account to the general fund.</w:t>
      </w:r>
    </w:p>
    <w:p>
      <w:pPr>
        <w:spacing w:before="0" w:after="0" w:line="408" w:lineRule="exact"/>
        <w:ind w:left="0" w:right="0" w:firstLine="576"/>
        <w:jc w:val="left"/>
      </w:pPr>
      <w:r>
        <w:rPr/>
        <w:t xml:space="preserve">(5)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The provisions of this chapter do not apply in respect to the use of new commercial vehicles, which are sold with propulsion units that can be principally powered by a clean alternative fuel.</w:t>
      </w:r>
    </w:p>
    <w:p>
      <w:pPr>
        <w:spacing w:before="0" w:after="0" w:line="408" w:lineRule="exact"/>
        <w:ind w:left="0" w:right="0" w:firstLine="576"/>
        <w:jc w:val="left"/>
      </w:pPr>
      <w:r>
        <w:rPr/>
        <w:t xml:space="preserve">(b) The provisions of this chapter do not apply to the use of qualifying used commercial vehicles, which were modified after their initial purchase with a United States environmental protection agency certified conversion that would allow the propulsion units to be principally powered by a clean alternative fuel. </w:t>
      </w:r>
    </w:p>
    <w:p>
      <w:pPr>
        <w:spacing w:before="0" w:after="0" w:line="408" w:lineRule="exact"/>
        <w:ind w:left="0" w:right="0" w:firstLine="576"/>
        <w:jc w:val="left"/>
      </w:pPr>
      <w:r>
        <w:rPr/>
        <w:t xml:space="preserve">(c) The provisions of this chapter do not apply to costs to modify a commercial vehicle as described in (b) of this subsection. Costs include sales of tangible personal property that are incorporated into the vehicle and to sales of, or charges made for, labor and services used to modify the vehicle.</w:t>
      </w:r>
    </w:p>
    <w:p>
      <w:pPr>
        <w:spacing w:before="0" w:after="0" w:line="408" w:lineRule="exact"/>
        <w:ind w:left="0" w:right="0" w:firstLine="576"/>
        <w:jc w:val="left"/>
      </w:pPr>
      <w:r>
        <w:rPr/>
        <w:t xml:space="preserve">(2) The exemptions provided in this section do not apply with respect to new commercial vehicles and qualifying used commercial vehicles acquired after December 31, 2025, or to modifications made after December 31, 2025.</w:t>
      </w:r>
    </w:p>
    <w:p>
      <w:pPr>
        <w:spacing w:before="0" w:after="0" w:line="408" w:lineRule="exact"/>
        <w:ind w:left="0" w:right="0" w:firstLine="576"/>
        <w:jc w:val="left"/>
      </w:pPr>
      <w:r>
        <w:rPr/>
        <w:t xml:space="preserve">(3)(a)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exemptions provided under this section from the multimodal transportation account to the general fund.</w:t>
      </w:r>
    </w:p>
    <w:p>
      <w:pPr>
        <w:spacing w:before="0" w:after="0" w:line="408" w:lineRule="exact"/>
        <w:ind w:left="0" w:right="0" w:firstLine="576"/>
        <w:jc w:val="left"/>
      </w:pPr>
      <w:r>
        <w:rPr/>
        <w:t xml:space="preserve">(4) The definitions in section 2 of this act apply to this section.</w:t>
      </w:r>
    </w:p>
    <w:p>
      <w:pPr>
        <w:spacing w:before="240" w:after="0" w:line="408" w:lineRule="exact"/>
        <w:ind w:left="0" w:right="0" w:firstLine="576"/>
        <w:jc w:val="center"/>
      </w:pPr>
      <w:r>
        <w:rPr>
          <w:b/>
        </w:rPr>
        <w:t xml:space="preserve">Business and Occupation Tax and Public Utility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taxable under this chapter is allowed a credit against the tax imposed in this chapter for the lesser of twenty-five thousand dollars or fifteen percent of the purchase price of a new or qualifying used clean alternative fuel commercial vehicle.</w:t>
      </w:r>
    </w:p>
    <w:p>
      <w:pPr>
        <w:spacing w:before="0" w:after="0" w:line="408" w:lineRule="exact"/>
        <w:ind w:left="0" w:right="0" w:firstLine="576"/>
        <w:jc w:val="left"/>
      </w:pPr>
      <w:r>
        <w:rPr/>
        <w:t xml:space="preserve">(2) A person who is taxable under this chapter is allowed a credit against the tax imposed in this chapter for the lesser of twenty-five thousand dollars or thirty percent of the costs of converting a commercial vehicle to be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5 of this act, during any calendar year to exceed six million dollars. The department must provide notification on its web site monthly on the amount of credits that have been issued and the amount remaining before the statewide annual limit is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(7) Taxpayers are only eligible for a credit under this section based on sales which are exempt from tax under section 2 of this act. A credit is earned when qualifying purchases are made.</w:t>
      </w:r>
    </w:p>
    <w:p>
      <w:pPr>
        <w:spacing w:before="0" w:after="0" w:line="408" w:lineRule="exact"/>
        <w:ind w:left="0" w:right="0" w:firstLine="576"/>
        <w:jc w:val="left"/>
      </w:pPr>
      <w:r>
        <w:rPr/>
        <w:t xml:space="preserve">(8)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(9)(a)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(10)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taxable under this chapter is allowed a credit against the tax imposed in this chapter for the lesser of twenty-five thousand dollars or fifteen percent of the purchase price of a new or qualifying used clean alternative fuel commercial vehicle.</w:t>
      </w:r>
    </w:p>
    <w:p>
      <w:pPr>
        <w:spacing w:before="0" w:after="0" w:line="408" w:lineRule="exact"/>
        <w:ind w:left="0" w:right="0" w:firstLine="576"/>
        <w:jc w:val="left"/>
      </w:pPr>
      <w:r>
        <w:rPr/>
        <w:t xml:space="preserve">(2) A person who is taxable under this chapter is allowed a credit against the tax imposed in this chapter for the lesser of twenty-five thousand dollars or thirty percent of the costs of converting a commercial vehicle to be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 of this act, during any calendar year to exceed six million dollars. The department must provide notification on its web site monthly on the amount of credits that have been issued and the amount remaining before the statewide annual limit is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(7) Taxpayers are only eligible for a credit under this section based on sales which are exempt from tax under section 2 of this act. A credit is earned when qualifying purchases are made.</w:t>
      </w:r>
    </w:p>
    <w:p>
      <w:pPr>
        <w:spacing w:before="0" w:after="0" w:line="408" w:lineRule="exact"/>
        <w:ind w:left="0" w:right="0" w:firstLine="576"/>
        <w:jc w:val="left"/>
      </w:pPr>
      <w:r>
        <w:rPr/>
        <w:t xml:space="preserve">(8)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(9)(a)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(10) This section expires January 1, 2026.</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c57438dbb35e43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30d6ed73e4f3b" /><Relationship Type="http://schemas.openxmlformats.org/officeDocument/2006/relationships/footer" Target="/word/footer.xml" Id="Rc57438dbb35e4357" /></Relationships>
</file>