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fc9edfa7b45b7" /></Relationships>
</file>

<file path=word/document.xml><?xml version="1.0" encoding="utf-8"?>
<w:document xmlns:w="http://schemas.openxmlformats.org/wordprocessingml/2006/main">
  <w:body>
    <w:p>
      <w:r>
        <w:t>S-0286.5</w:t>
      </w:r>
    </w:p>
    <w:p>
      <w:pPr>
        <w:jc w:val="center"/>
      </w:pPr>
      <w:r>
        <w:t>_______________________________________________</w:t>
      </w:r>
    </w:p>
    <w:p/>
    <w:p>
      <w:pPr>
        <w:jc w:val="center"/>
      </w:pPr>
      <w:r>
        <w:rPr>
          <w:b/>
        </w:rPr>
        <w:t>SENATE BILL 5340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Keiser, Cleveland, and McAuliffe</w:t>
      </w:r>
    </w:p>
    <w:p/>
    <w:p>
      <w:r>
        <w:rPr>
          <w:t xml:space="preserve">Read first time 01/20/15.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qualified health plan claims in grace periods; and amending RCW 48.43.039, 43.71.065, and 43.71.090.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2014 c 84 s 3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 and</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rPr/>
        <w:t xml:space="preserve">(4)</w:t>
      </w:r>
      <w:r>
        <w:rPr>
          <w:u w:val="single"/>
        </w:rPr>
        <w:t xml:space="preserve">By January 1, 2017, and thereafter, an issuer of a qualified health plan shall reimburse a health care provider or a health care facility for all nonfraudulent claims for service provided to an enrollee during the grace period. Reimbursement may not be recouped due to enrollee nonpayment of premiums.</w:t>
      </w:r>
    </w:p>
    <w:p>
      <w:pPr>
        <w:spacing w:before="0" w:after="0" w:line="408" w:lineRule="exact"/>
        <w:ind w:left="0" w:right="0" w:firstLine="576"/>
        <w:jc w:val="left"/>
      </w:pPr>
      <w:r>
        <w:rPr>
          <w:u w:val="single"/>
        </w:rPr>
        <w:t xml:space="preserve">(5)</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the affordable care act for certification as a qualified health plan; </w:t>
      </w:r>
      <w:r>
        <w:t>((</w:t>
      </w:r>
      <w:r>
        <w:rPr>
          <w:strike/>
        </w:rPr>
        <w:t xml:space="preserve">and</w:t>
      </w:r>
      <w:r>
        <w:t>))</w:t>
      </w:r>
    </w:p>
    <w:p>
      <w:pPr>
        <w:spacing w:before="0" w:after="0" w:line="408" w:lineRule="exact"/>
        <w:ind w:left="0" w:right="0" w:firstLine="576"/>
        <w:jc w:val="left"/>
      </w:pPr>
      <w:r>
        <w:rPr/>
        <w:t xml:space="preserve">(c) </w:t>
      </w:r>
      <w:r>
        <w:rPr>
          <w:u w:val="single"/>
        </w:rPr>
        <w:t xml:space="preserve">Board to ensure adherence to the terms of the contract between the qualified health plan issuer and a health care provider or health care facility, including a qualified health plan issuer reimbursing a health care provider or health care facility for nonfraudulent claims for service provided to an enrollee during the grace period, as defined in section 1412 of the patient protection and affordable care act, P.L. 111-148, as amended by the health care and education reconciliation act, P.L. 111-152, and implementing regulations issued by the federal department of health and human services; and</w:t>
      </w:r>
    </w:p>
    <w:p>
      <w:pPr>
        <w:spacing w:before="0" w:after="0" w:line="408" w:lineRule="exact"/>
        <w:ind w:left="0" w:right="0" w:firstLine="576"/>
        <w:jc w:val="left"/>
      </w:pPr>
      <w:r>
        <w:rPr>
          <w:u w:val="single"/>
        </w:rPr>
        <w:t xml:space="preserve">(d)</w:t>
      </w:r>
      <w:r>
        <w:rPr/>
        <w:t xml:space="preserve"> Board to include tribal clinics and urban Indian clinics as essential community providers in the plan's provider network consistent with federal law. If consistent with federal law, integrated delivery systems </w:t>
      </w:r>
      <w:r>
        <w:rPr/>
        <w:t xml:space="preserve">shall be</w:t>
      </w:r>
      <w:r>
        <w:rPr/>
        <w:t xml:space="preserve"> exempt from the requirement to include essential community providers in the provider network.</w:t>
      </w:r>
    </w:p>
    <w:p>
      <w:pPr>
        <w:spacing w:before="0" w:after="0" w:line="408" w:lineRule="exact"/>
        <w:ind w:left="0" w:right="0" w:firstLine="576"/>
        <w:jc w:val="left"/>
      </w:pPr>
      <w:r>
        <w:rPr/>
        <w:t xml:space="preserve">(2) Consistent with section 1311 of P.L. 111-148 of 2010, as amended, the board shall allow stand-alone dental plans to offer coverage in the exchange beginning January 1, 2014. Dental benefits offered in the exchange must be offered and priced separately to assure transparency for consumers.</w:t>
      </w:r>
    </w:p>
    <w:p>
      <w:pPr>
        <w:spacing w:before="0" w:after="0" w:line="408" w:lineRule="exact"/>
        <w:ind w:left="0" w:right="0" w:firstLine="576"/>
        <w:jc w:val="left"/>
      </w:pPr>
      <w:r>
        <w:rPr/>
        <w:t xml:space="preserve">(3) The board may permit direct primary care medical home plans, consistent with section 1301 of P.L. 111-148 of 2010, as amended, to be offered in the exchange beginning January 1, 2014.</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w:t>
      </w:r>
      <w:r>
        <w:t>((</w:t>
      </w:r>
      <w:r>
        <w:rPr>
          <w:strike/>
        </w:rPr>
        <w:t xml:space="preserve">(c)</w:t>
      </w:r>
      <w:r>
        <w:t>))</w:t>
      </w:r>
      <w:r>
        <w:rPr>
          <w:u w:val="single"/>
        </w:rPr>
        <w:t xml:space="preserve">(d)</w:t>
      </w:r>
      <w:r>
        <w:rPr/>
        <w:t xml:space="preserve">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090</w:t>
      </w:r>
      <w:r>
        <w:rPr/>
        <w:t xml:space="preserve"> and 2014 c 84 s 1 are each amended to read as follows:</w:t>
      </w:r>
    </w:p>
    <w:p>
      <w:pPr>
        <w:spacing w:before="0" w:after="0" w:line="408" w:lineRule="exact"/>
        <w:ind w:left="0" w:right="0" w:firstLine="576"/>
        <w:jc w:val="left"/>
      </w:pPr>
      <w:r>
        <w:rPr/>
        <w:t xml:space="preserve">(1) The exchange must support the grace period by providing electronic information to an issuer of a qualified health plan or a qualified dental plan that complies with 45 C.F.R. Sec. 156.270 (2013) and 45 C.F.R. Sec. 155.430 (2013).</w:t>
      </w:r>
    </w:p>
    <w:p>
      <w:pPr>
        <w:spacing w:before="0" w:after="0" w:line="408" w:lineRule="exact"/>
        <w:ind w:left="0" w:right="0" w:firstLine="576"/>
        <w:jc w:val="left"/>
      </w:pPr>
      <w:r>
        <w:rPr/>
        <w:t xml:space="preserve">(2) </w:t>
      </w:r>
      <w:r>
        <w:t>((</w:t>
      </w:r>
      <w:r>
        <w:rPr>
          <w:strike/>
        </w:rPr>
        <w:t xml:space="preserve">If the health benefit exchange notifies an enrollee that he or she is delinquent on payment of premium, the notice must include information on how to report a change in income or circumstances and an explanation that such a report may result in a change in the premium amount or program eligibility.</w:t>
      </w:r>
      <w:r>
        <w:t>))</w:t>
      </w:r>
      <w:r>
        <w:rPr>
          <w:u w:val="single"/>
        </w:rPr>
        <w:t xml:space="preserve">Prior to terminating the coverage of an enrollee receiving advance payments of the premium tax credit, the health benefit exchange shall conduct outreach with the specific goal of ensuring that enrollees who are late in making premium payments are aware that they may be eligible for medicaid coverage or for an increased subsidy level in the health benefit exchange. Where possible, this outreach must include correspondence via mail, email, and telephone. </w:t>
      </w:r>
    </w:p>
    <w:p/>
    <w:p>
      <w:pPr>
        <w:jc w:val="center"/>
      </w:pPr>
      <w:r>
        <w:rPr>
          <w:b/>
        </w:rPr>
        <w:t>--- END ---</w:t>
      </w:r>
    </w:p>
    <w:sectPr>
      <w:pgNumType w:start="1"/>
      <w:footerReference xmlns:r="http://schemas.openxmlformats.org/officeDocument/2006/relationships" r:id="R1e30d9216d564e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078566ecf4dcd" /><Relationship Type="http://schemas.openxmlformats.org/officeDocument/2006/relationships/footer" Target="/word/footer.xml" Id="R1e30d9216d564e25" /></Relationships>
</file>