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0ae08cc5c4ac4" /></Relationships>
</file>

<file path=word/document.xml><?xml version="1.0" encoding="utf-8"?>
<w:document xmlns:w="http://schemas.openxmlformats.org/wordprocessingml/2006/main">
  <w:body>
    <w:p>
      <w:r>
        <w:t>S-0741.1</w:t>
      </w:r>
    </w:p>
    <w:p>
      <w:pPr>
        <w:jc w:val="center"/>
      </w:pPr>
      <w:r>
        <w:t>_______________________________________________</w:t>
      </w:r>
    </w:p>
    <w:p/>
    <w:p>
      <w:pPr>
        <w:jc w:val="center"/>
      </w:pPr>
      <w:r>
        <w:rPr>
          <w:b/>
        </w:rPr>
        <w:t>SENATE BILL 5376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Habib, Miloscia, Darneille, Jayapal, Hobbs, Kohl-Welles, Keiser, Frockt, and Chase</w:t>
      </w:r>
    </w:p>
    <w:p/>
    <w:p>
      <w:r>
        <w:rPr>
          <w:t xml:space="preserve">Read first time 01/20/15.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eviction records; amending RCW 19.182.040;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13.50.010(1)(c), when the subject of the records is twenty-one years of age or older at the time of the report; </w:t>
      </w:r>
      <w:r>
        <w:t>((</w:t>
      </w:r>
      <w:r>
        <w:rPr>
          <w:strike/>
        </w:rPr>
        <w:t xml:space="preserve">and</w:t>
      </w:r>
      <w:r>
        <w:t>))</w:t>
      </w:r>
    </w:p>
    <w:p>
      <w:pPr>
        <w:spacing w:before="0" w:after="0" w:line="408" w:lineRule="exact"/>
        <w:ind w:left="0" w:right="0" w:firstLine="576"/>
        <w:jc w:val="left"/>
      </w:pPr>
      <w:r>
        <w:rPr/>
        <w:t xml:space="preserve">(g) </w:t>
      </w:r>
      <w:r>
        <w:rPr>
          <w:u w:val="single"/>
        </w:rPr>
        <w:t xml:space="preserve">Eviction records, including records of any civil action for unlawful detainer, forcible detainer, ejectment, or other claim in which the plaintiff seeks to gain or recover possession of residential real property from one or more defendants, if:</w:t>
      </w:r>
    </w:p>
    <w:p>
      <w:pPr>
        <w:spacing w:before="0" w:after="0" w:line="408" w:lineRule="exact"/>
        <w:ind w:left="0" w:right="0" w:firstLine="576"/>
        <w:jc w:val="left"/>
      </w:pPr>
      <w:r>
        <w:rPr>
          <w:u w:val="single"/>
        </w:rPr>
        <w:t xml:space="preserve">(i) The eviction suit did not result in a judgment finding the prospective tenant liable for unlawful detainer or otherwise in unlawful possession of the premises;</w:t>
      </w:r>
    </w:p>
    <w:p>
      <w:pPr>
        <w:spacing w:before="0" w:after="0" w:line="408" w:lineRule="exact"/>
        <w:ind w:left="0" w:right="0" w:firstLine="576"/>
        <w:jc w:val="left"/>
      </w:pPr>
      <w:r>
        <w:rPr>
          <w:u w:val="single"/>
        </w:rPr>
        <w:t xml:space="preserve">(ii) The tenant was restored to his or her tenancy under RCW 59.18.410 or other law; or</w:t>
      </w:r>
    </w:p>
    <w:p>
      <w:pPr>
        <w:spacing w:before="0" w:after="0" w:line="408" w:lineRule="exact"/>
        <w:ind w:left="0" w:right="0" w:firstLine="576"/>
        <w:jc w:val="left"/>
      </w:pPr>
      <w:r>
        <w:rPr>
          <w:u w:val="single"/>
        </w:rPr>
        <w:t xml:space="preserve">(iii) The judgment reflects a residual amount of rent left owed after the defendant substantially prevailed on any affirmative defense, counterclaim, or set-off; and</w:t>
      </w:r>
    </w:p>
    <w:p>
      <w:pPr>
        <w:spacing w:before="0" w:after="0" w:line="408" w:lineRule="exact"/>
        <w:ind w:left="0" w:right="0" w:firstLine="576"/>
        <w:jc w:val="left"/>
      </w:pPr>
      <w:r>
        <w:rPr>
          <w:u w:val="single"/>
        </w:rPr>
        <w:t xml:space="preserve">(h)</w:t>
      </w:r>
      <w:r>
        <w:rPr/>
        <w:t xml:space="preserve"> Any other adverse item of information that antedates the report by more than seven years.</w:t>
      </w:r>
    </w:p>
    <w:p>
      <w:pPr>
        <w:spacing w:before="0" w:after="0" w:line="408" w:lineRule="exact"/>
        <w:ind w:left="0" w:right="0" w:firstLine="576"/>
        <w:jc w:val="left"/>
      </w:pPr>
      <w:r>
        <w:rPr/>
        <w:t xml:space="preserve">(2) Subsection (1)(a) through (e) and </w:t>
      </w:r>
      <w:r>
        <w:t>((</w:t>
      </w:r>
      <w:r>
        <w:rPr>
          <w:strike/>
        </w:rPr>
        <w:t xml:space="preserve">(g)</w:t>
      </w:r>
      <w:r>
        <w:t>))</w:t>
      </w:r>
      <w:r>
        <w:rPr>
          <w:u w:val="single"/>
        </w:rPr>
        <w:t xml:space="preserve">(h)</w:t>
      </w:r>
      <w:r>
        <w:rPr/>
        <w:t xml:space="preserve">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or</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consumer reporting agency shall not include a prospective tenant's involvement in a prior eviction suit in a tenant screening report if:</w:t>
      </w:r>
    </w:p>
    <w:p>
      <w:pPr>
        <w:spacing w:before="0" w:after="0" w:line="408" w:lineRule="exact"/>
        <w:ind w:left="0" w:right="0" w:firstLine="576"/>
        <w:jc w:val="left"/>
      </w:pPr>
      <w:r>
        <w:rPr/>
        <w:t xml:space="preserve">(a) The eviction suit did not result in a judgment finding the prospective tenant liable for unlawful detainer or otherwise in unlawful possession of the premises;</w:t>
      </w:r>
    </w:p>
    <w:p>
      <w:pPr>
        <w:spacing w:before="0" w:after="0" w:line="408" w:lineRule="exact"/>
        <w:ind w:left="0" w:right="0" w:firstLine="576"/>
        <w:jc w:val="left"/>
      </w:pPr>
      <w:r>
        <w:rPr/>
        <w:t xml:space="preserve">(b) The tenant was restored to his or her tenancy under RCW 59.18.410 or other law; or</w:t>
      </w:r>
    </w:p>
    <w:p>
      <w:pPr>
        <w:spacing w:before="0" w:after="0" w:line="408" w:lineRule="exact"/>
        <w:ind w:left="0" w:right="0" w:firstLine="576"/>
        <w:jc w:val="left"/>
      </w:pPr>
      <w:r>
        <w:rPr/>
        <w:t xml:space="preserve">(c) The judgment reflects a residual amount of rent left owed after the defendant substantially prevailed on any affirmative defense, counterclaim, or set-off.</w:t>
      </w:r>
    </w:p>
    <w:p>
      <w:pPr>
        <w:spacing w:before="0" w:after="0" w:line="408" w:lineRule="exact"/>
        <w:ind w:left="0" w:right="0" w:firstLine="576"/>
        <w:jc w:val="left"/>
      </w:pPr>
      <w:r>
        <w:rPr/>
        <w:t xml:space="preserve">(2) A landlord shall not fail to renew a tenancy or refuse to enter into a rental agreement with a prospective tenant based on an eviction record, including records of any civil action for unlawful detainer, forcible detainer, ejectment, or other claim in which the plaintiff seeks to gain or recover possession of residential real property from one or more defendants, if:</w:t>
      </w:r>
    </w:p>
    <w:p>
      <w:pPr>
        <w:spacing w:before="0" w:after="0" w:line="408" w:lineRule="exact"/>
        <w:ind w:left="0" w:right="0" w:firstLine="576"/>
        <w:jc w:val="left"/>
      </w:pPr>
      <w:r>
        <w:rPr/>
        <w:t xml:space="preserve">(a) The eviction suit did not result in a judgment finding the prospective tenant liable for unlawful detainer or otherwise in unlawful possession of the premises;</w:t>
      </w:r>
    </w:p>
    <w:p>
      <w:pPr>
        <w:spacing w:before="0" w:after="0" w:line="408" w:lineRule="exact"/>
        <w:ind w:left="0" w:right="0" w:firstLine="576"/>
        <w:jc w:val="left"/>
      </w:pPr>
      <w:r>
        <w:rPr/>
        <w:t xml:space="preserve">(b) The tenant was restored to his or her tenancy under RCW 59.18.410 or other law; or</w:t>
      </w:r>
    </w:p>
    <w:p>
      <w:pPr>
        <w:spacing w:before="0" w:after="0" w:line="408" w:lineRule="exact"/>
        <w:ind w:left="0" w:right="0" w:firstLine="576"/>
        <w:jc w:val="left"/>
      </w:pPr>
      <w:r>
        <w:rPr/>
        <w:t xml:space="preserve">(c) The judgment reflects a residual amount of rent left owed after the defendant substantially prevailed on any affirmative defense, counterclaim, or set-off.</w:t>
      </w:r>
    </w:p>
    <w:p>
      <w:pPr>
        <w:spacing w:before="0" w:after="0" w:line="408" w:lineRule="exact"/>
        <w:ind w:left="0" w:right="0" w:firstLine="576"/>
        <w:jc w:val="left"/>
      </w:pPr>
      <w:r>
        <w:rPr/>
        <w:t xml:space="preserve">(3) A person injured by a violation of this section may bring a civil action to recover actual damages sustained, court costs, and reasonable attorneys' fees.</w:t>
      </w:r>
    </w:p>
    <w:p>
      <w:pPr>
        <w:spacing w:before="0" w:after="0" w:line="408" w:lineRule="exact"/>
        <w:ind w:left="0" w:right="0" w:firstLine="576"/>
        <w:jc w:val="left"/>
      </w:pPr>
      <w:r>
        <w:rPr/>
        <w:t xml:space="preserve">(4) For purposes of this section, "eviction suit" includes any civil action for unlawful detainer, forcible detainer, ejectment, or other claim in which the plaintiff seeks to gain or recover possession of residential real property from one or more defendants.</w:t>
      </w:r>
    </w:p>
    <w:p/>
    <w:p>
      <w:pPr>
        <w:jc w:val="center"/>
      </w:pPr>
      <w:r>
        <w:rPr>
          <w:b/>
        </w:rPr>
        <w:t>--- END ---</w:t>
      </w:r>
    </w:p>
    <w:sectPr>
      <w:pgNumType w:start="1"/>
      <w:footerReference xmlns:r="http://schemas.openxmlformats.org/officeDocument/2006/relationships" r:id="Raa0df5d7a8aa4b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bd0d51eda44a6" /><Relationship Type="http://schemas.openxmlformats.org/officeDocument/2006/relationships/footer" Target="/word/footer.xml" Id="Raa0df5d7a8aa4b39" /></Relationships>
</file>