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7f89899e245ec" /></Relationships>
</file>

<file path=word/document.xml><?xml version="1.0" encoding="utf-8"?>
<w:document xmlns:w="http://schemas.openxmlformats.org/wordprocessingml/2006/main">
  <w:body>
    <w:p>
      <w:r>
        <w:t>S-0816.1</w:t>
      </w:r>
    </w:p>
    <w:p>
      <w:pPr>
        <w:jc w:val="center"/>
      </w:pPr>
      <w:r>
        <w:t>_______________________________________________</w:t>
      </w:r>
    </w:p>
    <w:p/>
    <w:p>
      <w:pPr>
        <w:jc w:val="center"/>
      </w:pPr>
      <w:r>
        <w:rPr>
          <w:b/>
        </w:rPr>
        <w:t>SENATE BILL 5383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Becker, and McAuliffe</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on gifts in the form of food and beverage; and amending RCW 42.52.150.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 </w:t>
      </w:r>
      <w:r>
        <w:rPr>
          <w:u w:val="single"/>
        </w:rPr>
        <w:t xml:space="preserve">Gifts in the form of food and beverage may be considered to be made on infrequent occasions under rules adopted by the legislative ethics board only if the gift is reported as provided in chapter 42.17A RCW.</w:t>
      </w:r>
    </w:p>
    <w:p/>
    <w:p>
      <w:pPr>
        <w:jc w:val="center"/>
      </w:pPr>
      <w:r>
        <w:rPr>
          <w:b/>
        </w:rPr>
        <w:t>--- END ---</w:t>
      </w:r>
    </w:p>
    <w:sectPr>
      <w:pgNumType w:start="1"/>
      <w:footerReference xmlns:r="http://schemas.openxmlformats.org/officeDocument/2006/relationships" r:id="Rd473ecb94b3849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56570f476416f" /><Relationship Type="http://schemas.openxmlformats.org/officeDocument/2006/relationships/footer" Target="/word/footer.xml" Id="Rd473ecb94b3849ae" /></Relationships>
</file>