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e8e227b154801" /></Relationships>
</file>

<file path=word/document.xml><?xml version="1.0" encoding="utf-8"?>
<w:document xmlns:w="http://schemas.openxmlformats.org/wordprocessingml/2006/main">
  <w:body>
    <w:p>
      <w:r>
        <w:t>S-0826.1</w:t>
      </w:r>
    </w:p>
    <w:p>
      <w:pPr>
        <w:jc w:val="center"/>
      </w:pPr>
      <w:r>
        <w:t>_______________________________________________</w:t>
      </w:r>
    </w:p>
    <w:p/>
    <w:p>
      <w:pPr>
        <w:jc w:val="center"/>
      </w:pPr>
      <w:r>
        <w:rPr>
          <w:b/>
        </w:rPr>
        <w:t>SENATE BILL 5403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O'Ban, Darneille, Cleveland, Rivers, and Benton</w:t>
      </w:r>
    </w:p>
    <w:p/>
    <w:p>
      <w:r>
        <w:rPr>
          <w:t xml:space="preserve">Read first time 01/21/15.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competency to stand trial evaluations; amending RCW 10.77.073;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If, at the time of a referral for an evaluation of competency to stand trial in a jail for an in-custody defendant, the department has not met the performance target for timely completion of competency evaluations under RCW 10.77.068(1)(a)(ii) during the most recent quarter in fifty percent of cases submitted by the referring county, as documented in the most recent quarterly report under RCW 10.77.068(3) or confirmed by records maintained by the department, the department shall reimburse the county for the cost of appointing a qualified expert or professional person under RCW 10.77.060(1)(a) subject to subsections (2) and (3) of this section. </w:t>
      </w:r>
      <w:r>
        <w:rPr>
          <w:u w:val="single"/>
        </w:rPr>
        <w:t xml:space="preserve">In any quarter, if the department does not perform at least one-third the number of competency evaluations as performed by the referring county, the department shall reimburse the county for competency evaluations provided by its panel of experts as provided in subsection (4) of this section.</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w:t>
      </w:r>
      <w:r>
        <w:t>((</w:t>
      </w:r>
      <w:r>
        <w:rPr>
          <w:strike/>
        </w:rPr>
        <w:t xml:space="preserve">Subject to the availability of amounts appropriated for this specific purpose,</w:t>
      </w:r>
      <w:r>
        <w:t>))</w:t>
      </w:r>
      <w:r>
        <w:rPr>
          <w:u w:val="single"/>
        </w:rPr>
        <w:t xml:space="preserve">T</w:t>
      </w:r>
      <w:r>
        <w:rPr/>
        <w:t xml:space="preserve">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u w:val="single"/>
        </w:rPr>
        <w:t xml:space="preserve">(6)</w:t>
      </w:r>
      <w:r>
        <w:rPr/>
        <w:t xml:space="preserve"> This section expires June 30, </w:t>
      </w:r>
      <w:r>
        <w:t>((</w:t>
      </w:r>
      <w:r>
        <w:rPr>
          <w:strike/>
        </w:rPr>
        <w:t xml:space="preserve">2016</w:t>
      </w:r>
      <w:r>
        <w:t>))</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8e8870b4f6740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2809b83da4ddd" /><Relationship Type="http://schemas.openxmlformats.org/officeDocument/2006/relationships/footer" Target="/word/footer.xml" Id="R38e8870b4f67404c" /></Relationships>
</file>