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157193d4a4cc9" /></Relationships>
</file>

<file path=word/document.xml><?xml version="1.0" encoding="utf-8"?>
<w:document xmlns:w="http://schemas.openxmlformats.org/wordprocessingml/2006/main">
  <w:body>
    <w:p>
      <w:r>
        <w:t>S-0413.1</w:t>
      </w:r>
    </w:p>
    <w:p>
      <w:pPr>
        <w:jc w:val="center"/>
      </w:pPr>
      <w:r>
        <w:t>_______________________________________________</w:t>
      </w:r>
    </w:p>
    <w:p/>
    <w:p>
      <w:pPr>
        <w:jc w:val="center"/>
      </w:pPr>
      <w:r>
        <w:rPr>
          <w:b/>
        </w:rPr>
        <w:t>SENATE BILL 5409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Rivers, Angel, and Benton</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campaign expenditures; amending RCW 42.17A.240 and 42.17A.425; and reenacting and amending RCW 42.17A.210.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(5) On the day the treasurer is designated pursuant to subsection (1) of this section, each candidate must declare whether he or she will use a credit card for campaign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w:t>
      </w:r>
      <w:r>
        <w:rPr>
          <w:u w:val="single"/>
        </w:rPr>
        <w:t xml:space="preserve">whether a credit card was used to make each expenditure,</w:t>
      </w:r>
      <w:r>
        <w:rPr/>
        <w:t xml:space="preserv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w:t>
      </w:r>
      <w:r>
        <w:rPr>
          <w:u w:val="single"/>
        </w:rPr>
        <w:t xml:space="preserve">The credit card balance for campaign expenditures paid during the period and sources of funds used to pay the credit card balance, which shall be reported under this subsection in addition to what is required to be reported under subsection (8) of this section;</w:t>
      </w:r>
    </w:p>
    <w:p>
      <w:pPr>
        <w:spacing w:before="0" w:after="0" w:line="408" w:lineRule="exact"/>
        <w:ind w:left="0" w:right="0" w:firstLine="576"/>
        <w:jc w:val="left"/>
      </w:pPr>
      <w:r>
        <w:rPr>
          <w:u w:val="single"/>
        </w:rPr>
        <w:t xml:space="preserve">(10)</w:t>
      </w:r>
      <w:r>
        <w:rPr/>
        <w:t xml:space="preserve"> The surplus or deficit of contributions over expenditures;</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u w:val="single"/>
        </w:rPr>
        <w:t xml:space="preserve">(1)</w:t>
      </w:r>
      <w:r>
        <w:rPr/>
        <w:t xml:space="preserve"> 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u w:val="single"/>
        </w:rPr>
        <w:t xml:space="preserve">(2)</w:t>
      </w:r>
      <w:r>
        <w:rPr/>
        <w:t xml:space="preserve"> No expenditure of more than fifty dollars may be made in currency unless a receipt, signed by the recipient and by the candidate or treasurer, is prepared and made a part of the campaign's or political committee's financial records.</w:t>
      </w:r>
    </w:p>
    <w:p>
      <w:pPr>
        <w:spacing w:before="0" w:after="0" w:line="408" w:lineRule="exact"/>
        <w:ind w:left="0" w:right="0" w:firstLine="576"/>
        <w:jc w:val="left"/>
      </w:pPr>
      <w:r>
        <w:rPr>
          <w:u w:val="single"/>
        </w:rPr>
        <w:t xml:space="preserve">(3) No expenditures may be made by any candidate by credit card unless the credit card balance for all campaign-related expenditures is paid off in full within thirty days. Failure by a candidate or committee to comply with this subsection is a violation of this chapter.</w:t>
      </w:r>
    </w:p>
    <w:p/>
    <w:p>
      <w:pPr>
        <w:jc w:val="center"/>
      </w:pPr>
      <w:r>
        <w:rPr>
          <w:b/>
        </w:rPr>
        <w:t>--- END ---</w:t>
      </w:r>
    </w:p>
    <w:sectPr>
      <w:pgNumType w:start="1"/>
      <w:footerReference xmlns:r="http://schemas.openxmlformats.org/officeDocument/2006/relationships" r:id="Rd2b08040fe1e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c719877ce74c64" /><Relationship Type="http://schemas.openxmlformats.org/officeDocument/2006/relationships/footer" Target="/word/footer.xml" Id="Rd2b08040fe1e43d6" /></Relationships>
</file>