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817be858447e8" /></Relationships>
</file>

<file path=word/document.xml><?xml version="1.0" encoding="utf-8"?>
<w:document xmlns:w="http://schemas.openxmlformats.org/wordprocessingml/2006/main">
  <w:body>
    <w:p>
      <w:r>
        <w:t>S-0201.1</w:t>
      </w:r>
    </w:p>
    <w:p>
      <w:pPr>
        <w:jc w:val="center"/>
      </w:pPr>
      <w:r>
        <w:t>_______________________________________________</w:t>
      </w:r>
    </w:p>
    <w:p/>
    <w:p>
      <w:pPr>
        <w:jc w:val="center"/>
      </w:pPr>
      <w:r>
        <w:rPr>
          <w:b/>
        </w:rPr>
        <w:t>SENATE BILL 5513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Dammeier, Rivers, Bailey, Sheldon, Schoesler, Warnick, and Honeyford</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workers' recovery act by amending provisions governing structured settlements by lowering age barriers and clarifying legislative intent; amending RCW 51.04.063;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t>
      </w:r>
      <w:r>
        <w:t>((</w:t>
      </w:r>
      <w:r>
        <w:rPr>
          <w:strike/>
        </w:rPr>
        <w:t xml:space="preserve">who is at least fifty-five years of age on or after January 1, 2012, fifty-three years of age on or after January 1, 2015, or fifty years of age 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w:t>
      </w:r>
      <w:r>
        <w:t>((</w:t>
      </w:r>
      <w:r>
        <w:rPr>
          <w:strike/>
        </w:rPr>
        <w:t xml:space="preserve">shall</w:t>
      </w:r>
      <w:r>
        <w:t>))</w:t>
      </w:r>
      <w:r>
        <w:rPr>
          <w:u w:val="single"/>
        </w:rPr>
        <w:t xml:space="preserve">must</w:t>
      </w:r>
      <w:r>
        <w:rPr/>
        <w:t xml:space="preserve">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w:t>
      </w:r>
      <w:r>
        <w:t>((</w:t>
      </w:r>
      <w:r>
        <w:rPr>
          <w:strike/>
        </w:rPr>
        <w:t xml:space="preserve">shall</w:t>
      </w:r>
      <w:r>
        <w:t>))</w:t>
      </w:r>
      <w:r>
        <w:rPr>
          <w:u w:val="single"/>
        </w:rPr>
        <w:t xml:space="preserve">must</w:t>
      </w:r>
      <w:r>
        <w:rPr/>
        <w:t xml:space="preserve"> remain open for future necessary medical or surgical treatment related to the injury where there is a reasonable expectation such treatment is necessary. The parties may also agree that specific future treatment </w:t>
      </w:r>
      <w:r>
        <w:t>((</w:t>
      </w:r>
      <w:r>
        <w:rPr>
          <w:strike/>
        </w:rPr>
        <w:t xml:space="preserve">shall</w:t>
      </w:r>
      <w:r>
        <w:t>))</w:t>
      </w:r>
      <w:r>
        <w:rPr>
          <w:u w:val="single"/>
        </w:rPr>
        <w:t xml:space="preserve">must</w:t>
      </w:r>
      <w:r>
        <w:rPr/>
        <w:t xml:space="preserve">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t>((</w:t>
      </w:r>
      <w:r>
        <w:rPr>
          <w:strike/>
        </w:rPr>
        <w:t xml:space="preserve">shall</w:t>
      </w:r>
      <w:r>
        <w:t>))</w:t>
      </w:r>
      <w:r>
        <w:rPr>
          <w:u w:val="single"/>
        </w:rPr>
        <w:t xml:space="preserve">must</w:t>
      </w:r>
      <w:r>
        <w:rPr/>
        <w:t xml:space="preserve">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w:t>
      </w:r>
      <w:r>
        <w:t>((</w:t>
      </w:r>
      <w:r>
        <w:rPr>
          <w:strike/>
        </w:rPr>
        <w:t xml:space="preserve">shall</w:t>
      </w:r>
      <w:r>
        <w:t>))</w:t>
      </w:r>
      <w:r>
        <w:rPr>
          <w:u w:val="single"/>
        </w:rPr>
        <w:t xml:space="preserve">must</w:t>
      </w:r>
      <w:r>
        <w:rPr/>
        <w:t xml:space="preserve">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w:t>
      </w:r>
      <w:r>
        <w:t>((</w:t>
      </w:r>
      <w:r>
        <w:rPr>
          <w:strike/>
        </w:rPr>
        <w:t xml:space="preserve">shall</w:t>
      </w:r>
      <w:r>
        <w:t>))</w:t>
      </w:r>
      <w:r>
        <w:rPr>
          <w:u w:val="single"/>
        </w:rPr>
        <w:t xml:space="preserve">must</w:t>
      </w:r>
      <w:r>
        <w:rPr/>
        <w:t xml:space="preserve">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w:t>
      </w:r>
      <w:r>
        <w:t>((</w:t>
      </w:r>
      <w:r>
        <w:rPr>
          <w:strike/>
        </w:rPr>
        <w:t xml:space="preserve">shall</w:t>
      </w:r>
      <w:r>
        <w:t>))</w:t>
      </w:r>
      <w:r>
        <w:rPr>
          <w:u w:val="single"/>
        </w:rPr>
        <w:t xml:space="preserve">must</w:t>
      </w:r>
      <w:r>
        <w:rPr/>
        <w:t xml:space="preserve"> submit the agreement directly to the board without the conference described in this section. </w:t>
      </w:r>
      <w:r>
        <w:rPr>
          <w:u w:val="single"/>
        </w:rPr>
        <w:t xml:space="preserve">The requirements of a claim resolution structured settlement agreement for the purposes of subsection (3) of this section do not include the determination under subsection (2)(j) of this section if a worker is represented by an attorney at the time of signing a claim resolution structured settlement agreement.</w:t>
      </w:r>
    </w:p>
    <w:p>
      <w:pPr>
        <w:spacing w:before="0" w:after="0" w:line="408" w:lineRule="exact"/>
        <w:ind w:left="0" w:right="0" w:firstLine="576"/>
        <w:jc w:val="left"/>
      </w:pPr>
      <w:r>
        <w:rPr/>
        <w:t xml:space="preserve">(5) If the board approves the agreement, it </w:t>
      </w:r>
      <w:r>
        <w:t>((</w:t>
      </w:r>
      <w:r>
        <w:rPr>
          <w:strike/>
        </w:rPr>
        <w:t xml:space="preserve">shall</w:t>
      </w:r>
      <w:r>
        <w:t>))</w:t>
      </w:r>
      <w:r>
        <w:rPr>
          <w:u w:val="single"/>
        </w:rPr>
        <w:t xml:space="preserve">must</w:t>
      </w:r>
      <w:r>
        <w:rPr/>
        <w:t xml:space="preserve"> provide notice to all parties. The department </w:t>
      </w:r>
      <w:r>
        <w:t>((</w:t>
      </w:r>
      <w:r>
        <w:rPr>
          <w:strike/>
        </w:rPr>
        <w:t xml:space="preserve">shall</w:t>
      </w:r>
      <w:r>
        <w:t>))</w:t>
      </w:r>
      <w:r>
        <w:rPr>
          <w:u w:val="single"/>
        </w:rPr>
        <w:t xml:space="preserve">must</w:t>
      </w:r>
      <w:r>
        <w:rPr/>
        <w:t xml:space="preserve">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t>((</w:t>
      </w:r>
      <w:r>
        <w:rPr>
          <w:strike/>
        </w:rPr>
        <w:t xml:space="preserve">shall</w:t>
      </w:r>
      <w:r>
        <w:t>))</w:t>
      </w:r>
      <w:r>
        <w:rPr>
          <w:u w:val="single"/>
        </w:rPr>
        <w:t xml:space="preserve">must</w:t>
      </w:r>
      <w:r>
        <w:rPr/>
        <w:t xml:space="preserve">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workers'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 to RCW 51.04.063(4) by this act is an explicit restatement of the legislature's original intent that a finding under RCW 51.04.063(2)(j) is required only when the worker is not represented by an attorney at the time of signing a claim resolution structured settlement agreement. Because this provision is a clarification of the legislature's original intent, it applies retroactively.</w:t>
      </w:r>
    </w:p>
    <w:p/>
    <w:p>
      <w:pPr>
        <w:jc w:val="center"/>
      </w:pPr>
      <w:r>
        <w:rPr>
          <w:b/>
        </w:rPr>
        <w:t>--- END ---</w:t>
      </w:r>
    </w:p>
    <w:sectPr>
      <w:pgNumType w:start="1"/>
      <w:footerReference xmlns:r="http://schemas.openxmlformats.org/officeDocument/2006/relationships" r:id="R78131fd27d4646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256e7bd2f4428" /><Relationship Type="http://schemas.openxmlformats.org/officeDocument/2006/relationships/footer" Target="/word/footer.xml" Id="R78131fd27d4646c0" /></Relationships>
</file>