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3148dc1a84c1b" /></Relationships>
</file>

<file path=word/document.xml><?xml version="1.0" encoding="utf-8"?>
<w:document xmlns:w="http://schemas.openxmlformats.org/wordprocessingml/2006/main">
  <w:body>
    <w:p>
      <w:r>
        <w:t>S-0937.1</w:t>
      </w:r>
    </w:p>
    <w:p>
      <w:pPr>
        <w:jc w:val="center"/>
      </w:pPr>
      <w:r>
        <w:t>_______________________________________________</w:t>
      </w:r>
    </w:p>
    <w:p/>
    <w:p>
      <w:pPr>
        <w:jc w:val="center"/>
      </w:pPr>
      <w:r>
        <w:rPr>
          <w:b/>
        </w:rPr>
        <w:t>SENATE BILL 5575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Honeyford, and Hatfield</w:t>
      </w:r>
    </w:p>
    <w:p/>
    <w:p>
      <w:r>
        <w:rPr>
          <w:t xml:space="preserve">Read first time 01/26/15.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to encourage coal-fired electric generation plants to convert to natural gas-fired plants;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rather than shut down entirely. It is the legislature's intent to provide a tax exemption for the conversion of a coal-fired electric generation facility into a natural gas-fired generation plant,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and</w:t>
      </w:r>
    </w:p>
    <w:p>
      <w:pPr>
        <w:spacing w:before="0" w:after="0" w:line="408" w:lineRule="exact"/>
        <w:ind w:left="0" w:right="0" w:firstLine="576"/>
        <w:jc w:val="left"/>
      </w:pPr>
      <w:r>
        <w:rPr/>
        <w:t xml:space="preserve">(c) Machinery and equipment that is required to convert a coal-fired electric generation facility into a natural gas-fired plant, including labor and services rendered in respect to installing such machinery and equipment.</w:t>
      </w:r>
    </w:p>
    <w:p>
      <w:pPr>
        <w:spacing w:before="0" w:after="0" w:line="408" w:lineRule="exact"/>
        <w:ind w:left="0" w:right="0" w:firstLine="576"/>
        <w:jc w:val="left"/>
      </w:pPr>
      <w:r>
        <w:rPr/>
        <w:t xml:space="preserve">(2)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(3)(a) For purposes of this section, "machinery and equipment" means industrial fixtures, devices, and support facilities that are integral and necessary to the generation of electricity using natural gas, including repair parts and replacement parts.</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and</w:t>
      </w:r>
    </w:p>
    <w:p>
      <w:pPr>
        <w:spacing w:before="0" w:after="0" w:line="408" w:lineRule="exact"/>
        <w:ind w:left="0" w:right="0" w:firstLine="576"/>
        <w:jc w:val="left"/>
      </w:pPr>
      <w:r>
        <w:rPr/>
        <w:t xml:space="preserve">(b) Machinery and equipment that is required to convert a coal-fired electric generation facility into a natural gas-fired plant, including labor and services rendered in respect to installing such machinery and equipment.</w:t>
      </w:r>
    </w:p>
    <w:p>
      <w:pPr>
        <w:spacing w:before="0" w:after="0" w:line="408" w:lineRule="exact"/>
        <w:ind w:left="0" w:right="0" w:firstLine="576"/>
        <w:jc w:val="left"/>
      </w:pPr>
      <w:r>
        <w:rPr/>
        <w:t xml:space="preserve">(2) The exemption in this section does not apply to the use of materials, machinery and equipment, and installation labor for machinery and equipment, when first used within this state if such materials, machinery and equipment, and installation labor occurred on or after June 30, 2025.</w:t>
      </w:r>
    </w:p>
    <w:p>
      <w:pPr>
        <w:spacing w:before="0" w:after="0" w:line="408" w:lineRule="exact"/>
        <w:ind w:left="0" w:right="0" w:firstLine="576"/>
        <w:jc w:val="left"/>
      </w:pPr>
      <w:r>
        <w:rPr/>
        <w:t xml:space="preserve">(3) The definitions in section 2 of this act apply to this section.</w:t>
      </w:r>
    </w:p>
    <w:p>
      <w:pPr>
        <w:spacing w:before="0" w:after="0" w:line="408" w:lineRule="exact"/>
        <w:ind w:left="0" w:right="0" w:firstLine="576"/>
        <w:jc w:val="left"/>
      </w:pPr>
      <w:r>
        <w:rPr/>
        <w:t xml:space="preserve">(4) This section expires July 1, 2025.</w:t>
      </w:r>
    </w:p>
    <w:p/>
    <w:p>
      <w:pPr>
        <w:jc w:val="center"/>
      </w:pPr>
      <w:r>
        <w:rPr>
          <w:b/>
        </w:rPr>
        <w:t>--- END ---</w:t>
      </w:r>
    </w:p>
    <w:sectPr>
      <w:pgNumType w:start="1"/>
      <w:footerReference xmlns:r="http://schemas.openxmlformats.org/officeDocument/2006/relationships" r:id="R79b11cdc43bd48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b00bbcedf41c3" /><Relationship Type="http://schemas.openxmlformats.org/officeDocument/2006/relationships/footer" Target="/word/footer.xml" Id="R79b11cdc43bd48ae" /></Relationships>
</file>