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1f700efe3428e" /></Relationships>
</file>

<file path=word/document.xml><?xml version="1.0" encoding="utf-8"?>
<w:document xmlns:w="http://schemas.openxmlformats.org/wordprocessingml/2006/main">
  <w:body>
    <w:p>
      <w:r>
        <w:t>S-1703.1</w:t>
      </w:r>
    </w:p>
    <w:p>
      <w:pPr>
        <w:jc w:val="center"/>
      </w:pPr>
      <w:r>
        <w:t>_______________________________________________</w:t>
      </w:r>
    </w:p>
    <w:p/>
    <w:p>
      <w:pPr>
        <w:jc w:val="center"/>
      </w:pPr>
      <w:r>
        <w:rPr>
          <w:b/>
        </w:rPr>
        <w:t>SUBSTITUTE SENATE BILL 5694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Padden, Baumgartner, and Billig)</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assessments for nuisance abatement in cities and towns;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The special assessment may not exceed two thousand dollars.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The notice must be sent by regular mail.</w:t>
      </w:r>
    </w:p>
    <w:p>
      <w:pPr>
        <w:spacing w:before="0" w:after="0" w:line="408" w:lineRule="exact"/>
        <w:ind w:left="0" w:right="0" w:firstLine="576"/>
        <w:jc w:val="left"/>
      </w:pPr>
      <w:r>
        <w:rPr/>
        <w:t xml:space="preserve">(2) A code city that exercises its authority under chapter 7.48 RCW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The special assessment may not exceed two thousand dollars.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NumType w:start="1"/>
      <w:footerReference xmlns:r="http://schemas.openxmlformats.org/officeDocument/2006/relationships" r:id="Rdd2c4f1ff90849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0c196253747ef" /><Relationship Type="http://schemas.openxmlformats.org/officeDocument/2006/relationships/footer" Target="/word/footer.xml" Id="Rdd2c4f1ff908492f" /></Relationships>
</file>