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9a4c783a64795" /></Relationships>
</file>

<file path=word/document.xml><?xml version="1.0" encoding="utf-8"?>
<w:document xmlns:w="http://schemas.openxmlformats.org/wordprocessingml/2006/main">
  <w:body>
    <w:p>
      <w:r>
        <w:t>S-2152.1</w:t>
      </w:r>
    </w:p>
    <w:p>
      <w:pPr>
        <w:jc w:val="center"/>
      </w:pPr>
      <w:r>
        <w:t>_______________________________________________</w:t>
      </w:r>
    </w:p>
    <w:p/>
    <w:p>
      <w:pPr>
        <w:jc w:val="center"/>
      </w:pPr>
      <w:r>
        <w:rPr>
          <w:b/>
        </w:rPr>
        <w:t>SECOND SUBSTITUTE SENATE BILL 5755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Hargrove, Hill, Ranker, Dammeier, Braun, Keiser, Billig, Becker, Brown, Kohl-Welles, Chase, Conway, Darneille, Hasegawa, Fain, Habib, Hewitt, Pedersen, Jayapal,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and mitigating the impacts of property crimes in Washington state; amending RCW 9.94A.030, 9.94A.501, 9.94A.505, 9.94A.506, 9.94A.585, 9.94A.702, 9.94A.171, and 9.94A.860; reenacting and amending RCW 9.94A.515 and 9.94A.701; adding a new section to chapter 43.88 RCW; adding new sections to chapter 9.94A RCW; adding new sections to chapter 43.131 RCW; creating new sections;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Washington's crime victims' compensation program does not provide victims with financial assistance for expenses associated with property crime.</w:t>
      </w:r>
    </w:p>
    <w:p>
      <w:pPr>
        <w:spacing w:before="0" w:after="0" w:line="408" w:lineRule="exact"/>
        <w:ind w:left="0" w:right="0" w:firstLine="576"/>
        <w:jc w:val="left"/>
      </w:pPr>
      <w:r>
        <w:rPr/>
        <w:t xml:space="preserve">(c) Funding for programs that notify victims when offenders are released from jail in three large counties is set to expire in 2016.</w:t>
      </w:r>
    </w:p>
    <w:p>
      <w:pPr>
        <w:spacing w:before="0" w:after="0" w:line="408" w:lineRule="exact"/>
        <w:ind w:left="0" w:right="0" w:firstLine="576"/>
        <w:jc w:val="left"/>
      </w:pPr>
      <w:r>
        <w:rPr/>
        <w:t xml:space="preserve">(d) In recent years, an increasing number of individuals convicted of property crimes have been sentenced to prison. Supervision paired with treatment including, but not limited to, mental health, chemical dependency, and cognitive behavioral treatment and services, which can have a significant impact on reducing the likelihood of reoffending, is not available as a sentencing option for most people convicted of property offenses.</w:t>
      </w:r>
    </w:p>
    <w:p>
      <w:pPr>
        <w:spacing w:before="0" w:after="0" w:line="408" w:lineRule="exact"/>
        <w:ind w:left="0" w:right="0" w:firstLine="576"/>
        <w:jc w:val="left"/>
      </w:pPr>
      <w:r>
        <w:rPr/>
        <w:t xml:space="preserve">(e) Supervision practices in Washington are promising and the department of corrections continues to refine its approach to community supervision, but there is an opportunity to further strengthen the quality of supervision and extend it to property crime offenders.</w:t>
      </w:r>
    </w:p>
    <w:p>
      <w:pPr>
        <w:spacing w:before="0" w:after="0" w:line="408" w:lineRule="exact"/>
        <w:ind w:left="0" w:right="0" w:firstLine="576"/>
        <w:jc w:val="left"/>
      </w:pPr>
      <w:r>
        <w:rPr/>
        <w:t xml:space="preserve">(f) Pretrial detainees take up a significant portion of county jail space and a portion of these individuals will be rearrested upon release. Only a fraction of counties in Washington utilize risk assessments to inform decision making regarding pretrial release.</w:t>
      </w:r>
    </w:p>
    <w:p>
      <w:pPr>
        <w:spacing w:before="0" w:after="0" w:line="408" w:lineRule="exact"/>
        <w:ind w:left="0" w:right="0" w:firstLine="576"/>
        <w:jc w:val="left"/>
      </w:pPr>
      <w:r>
        <w:rPr/>
        <w:t xml:space="preserve">(g) Sustained policy development in juvenile and criminal justice would benefit from a more concerted, consistent, and visible form of governance.</w:t>
      </w:r>
    </w:p>
    <w:p>
      <w:pPr>
        <w:spacing w:before="0" w:after="0" w:line="408" w:lineRule="exact"/>
        <w:ind w:left="0" w:right="0" w:firstLine="576"/>
        <w:jc w:val="left"/>
      </w:pPr>
      <w:r>
        <w:rPr/>
        <w:t xml:space="preserve">(2) It is the intent of the legislature to respond to the findings of the Washington state justice reinvestment task force, which are outlined in subsection (1) of this section, by changing sentencing policy to require supervision of certain people convicted of property offenses; by providing treatment, if needed, and programs to reduce recidivism; and by providing additional support to local governments and victims of property crime. The legislature adopts this act with the goal of reducing property crime by at least fifteen percent by fiscal year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(xlvi) Taking Motor Vehicle without Permission 1 (RCW 9A.56.070);</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(6)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court shall order restitution as provided in RCW 9.94A.750 and 9.94A.753.</w:t>
      </w:r>
    </w:p>
    <w:p>
      <w:pPr>
        <w:spacing w:before="0" w:after="0" w:line="408" w:lineRule="exact"/>
        <w:ind w:left="0" w:right="0" w:firstLine="576"/>
        <w:jc w:val="left"/>
      </w:pPr>
      <w:r>
        <w:rPr/>
        <w:t xml:space="preserve">(8) As a part of any sentence, the court may impose and enforce crime-related prohibitions and affirmative conditions as provided in this chapter.</w:t>
      </w:r>
    </w:p>
    <w:p>
      <w:pPr>
        <w:spacing w:before="0" w:after="0" w:line="408" w:lineRule="exact"/>
        <w:ind w:left="0" w:right="0" w:firstLine="576"/>
        <w:jc w:val="left"/>
      </w:pPr>
      <w:r>
        <w:rPr/>
        <w:t xml:space="preserve">(9)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1 (RCW 9A.56.070)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Release of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months represent the standard sentence range.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RCW 2.28.170.</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0" w:after="0" w:line="408" w:lineRule="exact"/>
        <w:ind w:left="0" w:right="0" w:firstLine="576"/>
        <w:jc w:val="left"/>
      </w:pPr>
      <w:r>
        <w:rPr>
          <w:u w:val="single"/>
        </w:rPr>
        <w:t xml:space="preserve">(10) The department is not liable for tortious actions of a supervised offender unless reckless disregard of a known and immediate risk by the department is proven. In any case, the department is liable for only its degree of fault as determined by a fact finder.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w:t>
      </w:r>
      <w:r>
        <w:rPr>
          <w:u w:val="single"/>
        </w:rPr>
        <w:t xml:space="preserve">(a)</w:t>
      </w:r>
      <w:r>
        <w:rPr/>
        <w:t xml:space="preserve"> The sentencing guidelines commission is hereby created</w:t>
      </w:r>
      <w:r>
        <w:t>((</w:t>
      </w:r>
      <w:r>
        <w:rPr>
          <w:strike/>
        </w:rPr>
        <w:t xml:space="preserve">, located within the office of financial management</w:t>
      </w:r>
      <w:r>
        <w:t>))</w:t>
      </w:r>
      <w:r>
        <w:rPr/>
        <w:t xml:space="preserve">. </w:t>
      </w:r>
      <w:r>
        <w:rPr>
          <w:u w:val="single"/>
        </w:rPr>
        <w:t xml:space="preserve">The commission shall be colocated with the caseload forecast council.</w:t>
      </w:r>
      <w:r>
        <w:rPr/>
        <w:t xml:space="preserve"> Except as provided in RCW 9.94A.875, the commission shall serve to advise the governor and the legislature as necessary on issues relating to adult and juvenile sentencing.</w:t>
      </w:r>
    </w:p>
    <w:p>
      <w:pPr>
        <w:spacing w:before="0" w:after="0" w:line="408" w:lineRule="exact"/>
        <w:ind w:left="0" w:right="0" w:firstLine="576"/>
        <w:jc w:val="left"/>
      </w:pPr>
      <w:r>
        <w:rPr>
          <w:u w:val="single"/>
        </w:rPr>
        <w:t xml:space="preserve">(b) Subject to funds appropriated specifically for this purpose, the commission shall, in conjunction with the caseload forecast council, monitor and report to the governor and the legislature on the effectiveness of this act in reducing property crimes in Washington state and prepare racial and ethnic impact analyses as specified in section 17 of this act.</w:t>
      </w:r>
    </w:p>
    <w:p>
      <w:pPr>
        <w:spacing w:before="0" w:after="0" w:line="408" w:lineRule="exact"/>
        <w:ind w:left="0" w:right="0" w:firstLine="576"/>
        <w:jc w:val="left"/>
      </w:pPr>
      <w:r>
        <w:rPr>
          <w:u w:val="single"/>
        </w:rPr>
        <w:t xml:space="preserve">(c)</w:t>
      </w:r>
      <w:r>
        <w:rPr/>
        <w:t xml:space="preserve"> The commission may meet, as necessary, to accomplish these purposes </w:t>
      </w:r>
      <w:r>
        <w:t>((</w:t>
      </w:r>
      <w:r>
        <w:rPr>
          <w:strike/>
        </w:rPr>
        <w:t xml:space="preserve">within funds appropriated</w:t>
      </w:r>
      <w:r>
        <w:t>))</w:t>
      </w:r>
      <w:r>
        <w:rPr/>
        <w:t xml:space="preserve">.</w:t>
      </w:r>
    </w:p>
    <w:p>
      <w:pPr>
        <w:spacing w:before="0" w:after="0" w:line="408" w:lineRule="exact"/>
        <w:ind w:left="0" w:right="0" w:firstLine="576"/>
        <w:jc w:val="left"/>
      </w:pPr>
      <w:r>
        <w:rPr>
          <w:u w:val="single"/>
        </w:rPr>
        <w:t xml:space="preserve">(d) The commission may request assistance from other state agencies including, but not limited to, the caseload forecast council, the department, the department of social and health services, and other agencies.</w:t>
      </w:r>
    </w:p>
    <w:p>
      <w:pPr>
        <w:spacing w:before="0" w:after="0" w:line="408" w:lineRule="exact"/>
        <w:ind w:left="0" w:right="0" w:firstLine="576"/>
        <w:jc w:val="left"/>
      </w:pPr>
      <w:r>
        <w:rPr/>
        <w:t xml:space="preserve">(2) The commission consists of </w:t>
      </w:r>
      <w:r>
        <w:t>((</w:t>
      </w:r>
      <w:r>
        <w:rPr>
          <w:strike/>
        </w:rPr>
        <w:t xml:space="preserve">twenty</w:t>
      </w:r>
      <w:r>
        <w:t>))</w:t>
      </w:r>
      <w:r>
        <w:rPr/>
        <w:t xml:space="preserve"> </w:t>
      </w:r>
      <w:r>
        <w:rPr>
          <w:u w:val="single"/>
        </w:rPr>
        <w:t xml:space="preserve">eighteen</w:t>
      </w:r>
      <w:r>
        <w:rPr/>
        <w:t xml:space="preserve">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t xml:space="preserve"> </w:t>
      </w:r>
      <w:r>
        <w:rPr>
          <w:u w:val="single"/>
        </w:rPr>
        <w:t xml:space="preserve">secretary of the department</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w:t>
      </w:r>
      <w:r>
        <w:t>((</w:t>
      </w:r>
      <w:r>
        <w:rPr>
          <w:strike/>
        </w:rPr>
        <w:t xml:space="preserve">The chair of the indeterminate sentence review board, as an ex officio member;</w:t>
      </w:r>
    </w:p>
    <w:p>
      <w:pPr>
        <w:spacing w:before="0" w:after="0" w:line="408" w:lineRule="exact"/>
        <w:ind w:left="0" w:right="0" w:firstLine="576"/>
        <w:jc w:val="left"/>
      </w:pPr>
      <w:r>
        <w:rPr>
          <w:strike/>
        </w:rPr>
        <w:t xml:space="preserve">(d)</w:t>
      </w:r>
      <w:r>
        <w:t>))</w:t>
      </w:r>
      <w:r>
        <w:rPr/>
        <w:t xml:space="preserve"> The head of the state agency, or the agency head's designee, having responsibility for juvenile corrections programs, as an ex officio member;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Two prosecuting attorneys;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Two attorneys with particular expertise in defense work;</w:t>
      </w:r>
    </w:p>
    <w:p>
      <w:pPr>
        <w:spacing w:before="0" w:after="0" w:line="408" w:lineRule="exact"/>
        <w:ind w:left="0" w:right="0" w:firstLine="576"/>
        <w:jc w:val="left"/>
      </w:pPr>
      <w:r>
        <w:t>((</w:t>
      </w:r>
      <w:r>
        <w:rPr>
          <w:strike/>
        </w:rPr>
        <w:t xml:space="preserve">(g) Four</w:t>
      </w:r>
      <w:r>
        <w:t>))</w:t>
      </w:r>
      <w:r>
        <w:rPr/>
        <w:t xml:space="preserve"> </w:t>
      </w:r>
      <w:r>
        <w:rPr>
          <w:u w:val="single"/>
        </w:rPr>
        <w:t xml:space="preserve">(f) Two</w:t>
      </w:r>
      <w:r>
        <w:rPr/>
        <w:t xml:space="preserve"> persons who are superior court judges;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One person who is the chief law enforcement officer of a county </w:t>
      </w:r>
      <w:r>
        <w:t>((</w:t>
      </w:r>
      <w:r>
        <w:rPr>
          <w:strike/>
        </w:rPr>
        <w:t xml:space="preserve">or</w:t>
      </w:r>
      <w:r>
        <w:t>))</w:t>
      </w:r>
      <w:r>
        <w:rPr/>
        <w:t xml:space="preserve"> </w:t>
      </w:r>
      <w:r>
        <w:rPr>
          <w:u w:val="single"/>
        </w:rPr>
        <w:t xml:space="preserve">and one person who is the chief law enforcement officer of a</w:t>
      </w:r>
      <w:r>
        <w:rPr/>
        <w:t xml:space="preserve"> city;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One person who is an elected official of a county government, other than a prosecuting attorney or sheriff;</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One person who is an elected official of a city government;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w:t>
      </w:r>
      <w:r>
        <w:rPr>
          <w:u w:val="single"/>
        </w:rPr>
        <w:t xml:space="preserve">s</w:t>
      </w:r>
      <w:r>
        <w:rPr/>
        <w:t xml:space="preserve"> who </w:t>
      </w:r>
      <w:r>
        <w:t>((</w:t>
      </w:r>
      <w:r>
        <w:rPr>
          <w:strike/>
        </w:rPr>
        <w:t xml:space="preserve">is a</w:t>
      </w:r>
      <w:r>
        <w:t>))</w:t>
      </w:r>
      <w:r>
        <w:rPr/>
        <w:t xml:space="preserve"> </w:t>
      </w:r>
      <w:r>
        <w:rPr>
          <w:u w:val="single"/>
        </w:rPr>
        <w:t xml:space="preserve">are</w:t>
      </w:r>
      <w:r>
        <w:rPr/>
        <w:t xml:space="preserve"> law enforcement officer</w:t>
      </w:r>
      <w:r>
        <w:rPr>
          <w:u w:val="single"/>
        </w:rPr>
        <w:t xml:space="preserve">s</w:t>
      </w:r>
      <w:r>
        <w:rPr/>
        <w:t xml:space="preserve">,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establish a law enforcement grant program. To be eligible for a grant, local law enforcement agencies shall submit proposals to the department of commerce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demonstrate a commitment to regional, multijurisdictional strategies and that can clearly outline a comprehensive plan for municipalities to work with law enforcement, community-based organizations, and government agencies to address property crime.</w:t>
      </w:r>
    </w:p>
    <w:p>
      <w:pPr>
        <w:spacing w:before="0" w:after="0" w:line="408" w:lineRule="exact"/>
        <w:ind w:left="0" w:right="0" w:firstLine="576"/>
        <w:jc w:val="left"/>
      </w:pPr>
      <w:r>
        <w:rPr/>
        <w:t xml:space="preserve">(3) The department of commerce shall utilize an advisory committee to evaluate grant applications and monitor the effectiveness of grant projects in terms of property crime reduction. The advisory committee shall include one representative of each of the following entities:</w:t>
      </w:r>
    </w:p>
    <w:p>
      <w:pPr>
        <w:spacing w:before="0" w:after="0" w:line="408" w:lineRule="exact"/>
        <w:ind w:left="0" w:right="0" w:firstLine="576"/>
        <w:jc w:val="left"/>
      </w:pPr>
      <w:r>
        <w:rPr/>
        <w:t xml:space="preserve">(a) Governor's office;</w:t>
      </w:r>
    </w:p>
    <w:p>
      <w:pPr>
        <w:spacing w:before="0" w:after="0" w:line="408" w:lineRule="exact"/>
        <w:ind w:left="0" w:right="0" w:firstLine="576"/>
        <w:jc w:val="left"/>
      </w:pPr>
      <w:r>
        <w:rPr/>
        <w:t xml:space="preserve">(b) Washington state association of counties;</w:t>
      </w:r>
    </w:p>
    <w:p>
      <w:pPr>
        <w:spacing w:before="0" w:after="0" w:line="408" w:lineRule="exact"/>
        <w:ind w:left="0" w:right="0" w:firstLine="576"/>
        <w:jc w:val="left"/>
      </w:pPr>
      <w:r>
        <w:rPr/>
        <w:t xml:space="preserve">(c) Washington association of prosecuting attorneys;</w:t>
      </w:r>
    </w:p>
    <w:p>
      <w:pPr>
        <w:spacing w:before="0" w:after="0" w:line="408" w:lineRule="exact"/>
        <w:ind w:left="0" w:right="0" w:firstLine="576"/>
        <w:jc w:val="left"/>
      </w:pPr>
      <w:r>
        <w:rPr/>
        <w:t xml:space="preserve">(d) Administrative office of the courts;</w:t>
      </w:r>
    </w:p>
    <w:p>
      <w:pPr>
        <w:spacing w:before="0" w:after="0" w:line="408" w:lineRule="exact"/>
        <w:ind w:left="0" w:right="0" w:firstLine="576"/>
        <w:jc w:val="left"/>
      </w:pPr>
      <w:r>
        <w:rPr/>
        <w:t xml:space="preserve">(e) Washington association of sheriffs and police chiefs;</w:t>
      </w:r>
    </w:p>
    <w:p>
      <w:pPr>
        <w:spacing w:before="0" w:after="0" w:line="408" w:lineRule="exact"/>
        <w:ind w:left="0" w:right="0" w:firstLine="576"/>
        <w:jc w:val="left"/>
      </w:pPr>
      <w:r>
        <w:rPr/>
        <w:t xml:space="preserve">(f) Crime victims' compensation program;</w:t>
      </w:r>
    </w:p>
    <w:p>
      <w:pPr>
        <w:spacing w:before="0" w:after="0" w:line="408" w:lineRule="exact"/>
        <w:ind w:left="0" w:right="0" w:firstLine="576"/>
        <w:jc w:val="left"/>
      </w:pPr>
      <w:r>
        <w:rPr/>
        <w:t xml:space="preserve">(g) Department of corrections;</w:t>
      </w:r>
    </w:p>
    <w:p>
      <w:pPr>
        <w:spacing w:before="0" w:after="0" w:line="408" w:lineRule="exact"/>
        <w:ind w:left="0" w:right="0" w:firstLine="576"/>
        <w:jc w:val="left"/>
      </w:pPr>
      <w:r>
        <w:rPr/>
        <w:t xml:space="preserve">(h) Washington state patrol; and</w:t>
      </w:r>
    </w:p>
    <w:p>
      <w:pPr>
        <w:spacing w:before="0" w:after="0" w:line="408" w:lineRule="exact"/>
        <w:ind w:left="0" w:right="0" w:firstLine="576"/>
        <w:jc w:val="left"/>
      </w:pPr>
      <w:r>
        <w:rPr/>
        <w:t xml:space="preserve">(i) Criminal justice training commission.</w:t>
      </w:r>
    </w:p>
    <w:p>
      <w:pPr>
        <w:spacing w:before="0" w:after="0" w:line="408" w:lineRule="exact"/>
        <w:ind w:left="0" w:right="0" w:firstLine="576"/>
        <w:jc w:val="left"/>
      </w:pPr>
      <w:r>
        <w:rPr/>
        <w:t xml:space="preserve">(4) The department of commerce must report to the sentencing guidelines commission on the advisory committee's evaluation of the effectiveness of grant projects in terms of property crime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 the department of commerce shall establish a pretrial grant program. To be eligible for a grant, counties shall submit proposals to the department of commerce that provide for a local pretrial program that meets the following criteria. The pretrial program must:</w:t>
      </w:r>
    </w:p>
    <w:p>
      <w:pPr>
        <w:spacing w:before="0" w:after="0" w:line="408" w:lineRule="exact"/>
        <w:ind w:left="0" w:right="0" w:firstLine="576"/>
        <w:jc w:val="left"/>
      </w:pPr>
      <w:r>
        <w:rPr/>
        <w:t xml:space="preserve">(1) Establish a procedure for screening those persons detained following arrest, and information from the screening must be provided to the judge who is setting the bond and conditions of release. The information must provide the judge with the ability to make an appropriate initial bond decision that is based upon facts relating to the person's risk of failure to appear for court and risk of danger to the community;</w:t>
      </w:r>
    </w:p>
    <w:p>
      <w:pPr>
        <w:spacing w:before="0" w:after="0" w:line="408" w:lineRule="exact"/>
        <w:ind w:left="0" w:right="0" w:firstLine="576"/>
        <w:jc w:val="left"/>
      </w:pPr>
      <w:r>
        <w:rPr/>
        <w:t xml:space="preserve">(2) Implement an empirically developed pretrial risk assessment tool and a structured decision-making design based upon the person's charge and risk assessment score;</w:t>
      </w:r>
    </w:p>
    <w:p>
      <w:pPr>
        <w:spacing w:before="0" w:after="0" w:line="408" w:lineRule="exact"/>
        <w:ind w:left="0" w:right="0" w:firstLine="576"/>
        <w:jc w:val="left"/>
      </w:pPr>
      <w:r>
        <w:rPr/>
        <w:t xml:space="preserve">(3) Establish a community advisory board with membership including a representative of the judiciary, a representative of local law enforcement, a representative of a prosecuting attorney, a representative of a public defender or other defense counsel, and a representative of a sheriff;</w:t>
      </w:r>
    </w:p>
    <w:p>
      <w:pPr>
        <w:spacing w:before="0" w:after="0" w:line="408" w:lineRule="exact"/>
        <w:ind w:left="0" w:right="0" w:firstLine="576"/>
        <w:jc w:val="left"/>
      </w:pPr>
      <w:r>
        <w:rPr/>
        <w:t xml:space="preserve">(4) Provide mental health, chemical dependency, and cognitive behavioral treatment and services to each person, as needed, in order to address and reduce criminal behavior;</w:t>
      </w:r>
    </w:p>
    <w:p>
      <w:pPr>
        <w:spacing w:before="0" w:after="0" w:line="408" w:lineRule="exact"/>
        <w:ind w:left="0" w:right="0" w:firstLine="576"/>
        <w:jc w:val="left"/>
      </w:pPr>
      <w:r>
        <w:rPr/>
        <w:t xml:space="preserve">(5) Use community supervision as a condition of release in order to decrease unnecessary pretrial detention;</w:t>
      </w:r>
    </w:p>
    <w:p>
      <w:pPr>
        <w:spacing w:before="0" w:after="0" w:line="408" w:lineRule="exact"/>
        <w:ind w:left="0" w:right="0" w:firstLine="576"/>
        <w:jc w:val="left"/>
      </w:pPr>
      <w:r>
        <w:rPr/>
        <w:t xml:space="preserve">(6) Agree to provide an annual report to the department of commerce that includes:</w:t>
      </w:r>
    </w:p>
    <w:p>
      <w:pPr>
        <w:spacing w:before="0" w:after="0" w:line="408" w:lineRule="exact"/>
        <w:ind w:left="0" w:right="0" w:firstLine="576"/>
        <w:jc w:val="left"/>
      </w:pPr>
      <w:r>
        <w:rPr/>
        <w:t xml:space="preserve">(a) The total number of pretrial assessments performed by the program and submitted to the court;</w:t>
      </w:r>
    </w:p>
    <w:p>
      <w:pPr>
        <w:spacing w:before="0" w:after="0" w:line="408" w:lineRule="exact"/>
        <w:ind w:left="0" w:right="0" w:firstLine="576"/>
        <w:jc w:val="left"/>
      </w:pPr>
      <w:r>
        <w:rPr/>
        <w:t xml:space="preserve">(b) The total number of closed cases in which the person was released from custody and supervised by the program;</w:t>
      </w:r>
    </w:p>
    <w:p>
      <w:pPr>
        <w:spacing w:before="0" w:after="0" w:line="408" w:lineRule="exact"/>
        <w:ind w:left="0" w:right="0" w:firstLine="576"/>
        <w:jc w:val="left"/>
      </w:pPr>
      <w:r>
        <w:rPr/>
        <w:t xml:space="preserve">(c) The total number of closed cases in which the person was released from custody, was supervised by the program, and, while under supervision, appeared for all scheduled court appearances on the case;</w:t>
      </w:r>
    </w:p>
    <w:p>
      <w:pPr>
        <w:spacing w:before="0" w:after="0" w:line="408" w:lineRule="exact"/>
        <w:ind w:left="0" w:right="0" w:firstLine="576"/>
        <w:jc w:val="left"/>
      </w:pPr>
      <w:r>
        <w:rPr/>
        <w:t xml:space="preserve">(d) The total number of closed cases in which the person was released from custody, was supervised by the program, and was not charged with a new criminal offense while under supervision;</w:t>
      </w:r>
    </w:p>
    <w:p>
      <w:pPr>
        <w:spacing w:before="0" w:after="0" w:line="408" w:lineRule="exact"/>
        <w:ind w:left="0" w:right="0" w:firstLine="576"/>
        <w:jc w:val="left"/>
      </w:pPr>
      <w:r>
        <w:rPr/>
        <w:t xml:space="preserve">(e) The total number of closed cases in which the person was released from custody, was supervised by the program, and the person's bond was not revoked by the court;</w:t>
      </w:r>
    </w:p>
    <w:p>
      <w:pPr>
        <w:spacing w:before="0" w:after="0" w:line="408" w:lineRule="exact"/>
        <w:ind w:left="0" w:right="0" w:firstLine="576"/>
        <w:jc w:val="left"/>
      </w:pPr>
      <w:r>
        <w:rPr/>
        <w:t xml:space="preserve">(f) The total number of persons released from custody to the supervision of the program and also on a commercial surety bond, a cash private surety or property bond, or a personal recognizance bond; and</w:t>
      </w:r>
    </w:p>
    <w:p>
      <w:pPr>
        <w:spacing w:before="0" w:after="0" w:line="408" w:lineRule="exact"/>
        <w:ind w:left="0" w:right="0" w:firstLine="576"/>
        <w:jc w:val="left"/>
      </w:pPr>
      <w:r>
        <w:rPr/>
        <w:t xml:space="preserve">(g) Any additional information required by the department of commerce;</w:t>
      </w:r>
    </w:p>
    <w:p>
      <w:pPr>
        <w:spacing w:before="0" w:after="0" w:line="408" w:lineRule="exact"/>
        <w:ind w:left="0" w:right="0" w:firstLine="576"/>
        <w:jc w:val="left"/>
      </w:pPr>
      <w:r>
        <w:rPr/>
        <w:t xml:space="preserve">The department of commerce shall identify at least one county to receive a grant that will test the impact of providing defendants with earlier access to pretrial defense counsel on pretrial outcomes and county budgets.</w:t>
      </w:r>
    </w:p>
    <w:p>
      <w:pPr>
        <w:spacing w:before="0" w:after="0" w:line="408" w:lineRule="exact"/>
        <w:ind w:left="0" w:right="0" w:firstLine="576"/>
        <w:jc w:val="left"/>
      </w:pPr>
      <w:r>
        <w:rPr/>
        <w:t xml:space="preserve">The department of commerce must report to the sentencing guidelines commission on the effectiveness of the grant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sections 14 and 15 of this act shall be considered one-time grants and may be renewed for effective programs. The department of commerce shall consult with counties and local law enforcement agencies when determining grant eligibility requirements and criteria. The department of commerce shall publish guidelines and an application for the competitive portion of the grant programs no later than January 1, 2016.</w:t>
      </w:r>
    </w:p>
    <w:p>
      <w:pPr>
        <w:spacing w:before="0" w:after="0" w:line="408" w:lineRule="exact"/>
        <w:ind w:left="0" w:right="0" w:firstLine="576"/>
        <w:jc w:val="left"/>
      </w:pPr>
      <w:r>
        <w:rPr/>
        <w:t xml:space="preserve">(2) The department of commerce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department of commerce may adopt rules and procedures as necessary to carry out sections 14 and 15 of this act.</w:t>
      </w:r>
    </w:p>
    <w:p>
      <w:pPr>
        <w:spacing w:before="0" w:after="0" w:line="408" w:lineRule="exact"/>
        <w:ind w:left="0" w:right="0" w:firstLine="576"/>
        <w:jc w:val="left"/>
      </w:pPr>
      <w:r>
        <w:rPr/>
        <w:t xml:space="preserve">(4) A grantee may not supplant current local funds for pretrial services or law enforcement with funds provided by the department of commerce under sections 14 and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If one member from each of the major two caucuses in the house of representatives or the senate request in writing a racial and ethnic impact statement under this section regarding legislation that has been introduced in that chamber, the Washington sentencing guidelines commission shall prepare a racial and ethnic impact analysis that describes the effects of proposed legislation on the racial and ethnic composition of:</w:t>
      </w:r>
    </w:p>
    <w:p>
      <w:pPr>
        <w:spacing w:before="0" w:after="0" w:line="408" w:lineRule="exact"/>
        <w:ind w:left="0" w:right="0" w:firstLine="576"/>
        <w:jc w:val="left"/>
      </w:pPr>
      <w:r>
        <w:rPr/>
        <w:t xml:space="preserve">(a) The criminal offender population; or</w:t>
      </w:r>
    </w:p>
    <w:p>
      <w:pPr>
        <w:spacing w:before="0" w:after="0" w:line="408" w:lineRule="exact"/>
        <w:ind w:left="0" w:right="0" w:firstLine="576"/>
        <w:jc w:val="left"/>
      </w:pPr>
      <w:r>
        <w:rPr/>
        <w:t xml:space="preserve">(b) Recipients of human services.</w:t>
      </w:r>
    </w:p>
    <w:p>
      <w:pPr>
        <w:spacing w:before="0" w:after="0" w:line="408" w:lineRule="exact"/>
        <w:ind w:left="0" w:right="0" w:firstLine="576"/>
        <w:jc w:val="left"/>
      </w:pPr>
      <w:r>
        <w:rPr/>
        <w:t xml:space="preserve">(2) A racial and ethnic impact statement must be impartial, simple, and understandable, and must include, for racial and ethnic groups for which data are available, the following:</w:t>
      </w:r>
    </w:p>
    <w:p>
      <w:pPr>
        <w:spacing w:before="0" w:after="0" w:line="408" w:lineRule="exact"/>
        <w:ind w:left="0" w:right="0" w:firstLine="576"/>
        <w:jc w:val="left"/>
      </w:pPr>
      <w:r>
        <w:rPr/>
        <w:t xml:space="preserve">(a) An estimate of how the proposed legislation would change the racial and ethnic composition of the criminal offender population or recipients of human services;</w:t>
      </w:r>
    </w:p>
    <w:p>
      <w:pPr>
        <w:spacing w:before="0" w:after="0" w:line="408" w:lineRule="exact"/>
        <w:ind w:left="0" w:right="0" w:firstLine="576"/>
        <w:jc w:val="left"/>
      </w:pPr>
      <w:r>
        <w:rPr/>
        <w:t xml:space="preserve">(b) A statement of the methodologies and assumptions used in preparing the estimate; and</w:t>
      </w:r>
    </w:p>
    <w:p>
      <w:pPr>
        <w:spacing w:before="0" w:after="0" w:line="408" w:lineRule="exact"/>
        <w:ind w:left="0" w:right="0" w:firstLine="576"/>
        <w:jc w:val="left"/>
      </w:pPr>
      <w:r>
        <w:rPr/>
        <w:t xml:space="preserve">(c) If the racial and ethnic impact statement addresses the effect of proposed legislation on the criminal offender population, an estimate of the racial and ethnic composition of the crime victims who may be affected by the proposed legislation.</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"Criminal offender population" means all persons who are convicted of a crime or adjudicated for an act that, if committed by an adult, would constitute a crime.</w:t>
      </w:r>
    </w:p>
    <w:p>
      <w:pPr>
        <w:spacing w:before="0" w:after="0" w:line="408" w:lineRule="exact"/>
        <w:ind w:left="0" w:right="0" w:firstLine="576"/>
        <w:jc w:val="left"/>
      </w:pPr>
      <w:r>
        <w:rPr/>
        <w:t xml:space="preserve">(b) "Recipients of human services" means all persons who are found to be within the jurisdiction of the juvenile court or who receive child welfare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sentencing guidelines commission's authorities, as established in sections 2 and 13 through 17 of this act, are terminated on June 30, 2021, as provided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w:t>
      </w:r>
    </w:p>
    <w:p>
      <w:pPr>
        <w:spacing w:before="0" w:after="0" w:line="408" w:lineRule="exact"/>
        <w:ind w:left="0" w:right="0" w:firstLine="576"/>
        <w:jc w:val="left"/>
      </w:pPr>
      <w:r>
        <w:rPr/>
        <w:t xml:space="preserve">(9) Section 9 of this act;</w:t>
      </w:r>
    </w:p>
    <w:p>
      <w:pPr>
        <w:spacing w:before="0" w:after="0" w:line="408" w:lineRule="exact"/>
        <w:ind w:left="0" w:right="0" w:firstLine="576"/>
        <w:jc w:val="left"/>
      </w:pPr>
      <w:r>
        <w:rPr/>
        <w:t xml:space="preserve">(10) Section 10 of this act;</w:t>
      </w:r>
    </w:p>
    <w:p>
      <w:pPr>
        <w:spacing w:before="0" w:after="0" w:line="408" w:lineRule="exact"/>
        <w:ind w:left="0" w:right="0" w:firstLine="576"/>
        <w:jc w:val="left"/>
      </w:pPr>
      <w:r>
        <w:rPr/>
        <w:t xml:space="preserve">(11) Section 11 of this act;</w:t>
      </w:r>
    </w:p>
    <w:p>
      <w:pPr>
        <w:spacing w:before="0" w:after="0" w:line="408" w:lineRule="exact"/>
        <w:ind w:left="0" w:right="0" w:firstLine="576"/>
        <w:jc w:val="left"/>
      </w:pPr>
      <w:r>
        <w:rPr/>
        <w:t xml:space="preserve">(12) Section 12 of this act;</w:t>
      </w:r>
    </w:p>
    <w:p>
      <w:pPr>
        <w:spacing w:before="0" w:after="0" w:line="408" w:lineRule="exact"/>
        <w:ind w:left="0" w:right="0" w:firstLine="576"/>
        <w:jc w:val="left"/>
      </w:pPr>
      <w:r>
        <w:rPr/>
        <w:t xml:space="preserve">(13) Section 13 of this act;</w:t>
      </w:r>
    </w:p>
    <w:p>
      <w:pPr>
        <w:spacing w:before="0" w:after="0" w:line="408" w:lineRule="exact"/>
        <w:ind w:left="0" w:right="0" w:firstLine="576"/>
        <w:jc w:val="left"/>
      </w:pPr>
      <w:r>
        <w:rPr/>
        <w:t xml:space="preserve">(14) Section 14 of this act;</w:t>
      </w:r>
    </w:p>
    <w:p>
      <w:pPr>
        <w:spacing w:before="0" w:after="0" w:line="408" w:lineRule="exact"/>
        <w:ind w:left="0" w:right="0" w:firstLine="576"/>
        <w:jc w:val="left"/>
      </w:pPr>
      <w:r>
        <w:rPr/>
        <w:t xml:space="preserve">(15) Section 15 of this act;</w:t>
      </w:r>
    </w:p>
    <w:p>
      <w:pPr>
        <w:spacing w:before="0" w:after="0" w:line="408" w:lineRule="exact"/>
        <w:ind w:left="0" w:right="0" w:firstLine="576"/>
        <w:jc w:val="left"/>
      </w:pPr>
      <w:r>
        <w:rPr/>
        <w:t xml:space="preserve">(16) Section 16 of this act; and</w:t>
      </w:r>
    </w:p>
    <w:p>
      <w:pPr>
        <w:spacing w:before="0" w:after="0" w:line="408" w:lineRule="exact"/>
        <w:ind w:left="0" w:right="0" w:firstLine="576"/>
        <w:jc w:val="left"/>
      </w:pPr>
      <w:r>
        <w:rPr/>
        <w:t xml:space="preserve">(17)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14, and 15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apply to sentences for crimes committed on or after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are necessary for the immediate preservation of the public peace, health, or safety, or support of the state government and its existing public institutions, and take effect July 1, 2015.</w:t>
      </w:r>
    </w:p>
    <w:p/>
    <w:p>
      <w:pPr>
        <w:jc w:val="center"/>
      </w:pPr>
      <w:r>
        <w:rPr>
          <w:b/>
        </w:rPr>
        <w:t>--- END ---</w:t>
      </w:r>
    </w:p>
    <w:sectPr>
      <w:pgNumType w:start="1"/>
      <w:footerReference xmlns:r="http://schemas.openxmlformats.org/officeDocument/2006/relationships" r:id="R6655051aba1d4a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f53e8fc48148b1" /><Relationship Type="http://schemas.openxmlformats.org/officeDocument/2006/relationships/footer" Target="/word/footer.xml" Id="R6655051aba1d4ae4" /></Relationships>
</file>