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b918948c74233" /></Relationships>
</file>

<file path=word/document.xml><?xml version="1.0" encoding="utf-8"?>
<w:document xmlns:w="http://schemas.openxmlformats.org/wordprocessingml/2006/main">
  <w:body>
    <w:p>
      <w:r>
        <w:t>Z-0295.1</w:t>
      </w:r>
    </w:p>
    <w:p>
      <w:pPr>
        <w:jc w:val="center"/>
      </w:pPr>
      <w:r>
        <w:t>_______________________________________________</w:t>
      </w:r>
    </w:p>
    <w:p/>
    <w:p>
      <w:pPr>
        <w:jc w:val="center"/>
      </w:pPr>
      <w:r>
        <w:rPr>
          <w:b/>
        </w:rPr>
        <w:t>SENATE BILL 5772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Frockt, and Bailey; by request of Department of Health</w:t>
      </w:r>
    </w:p>
    <w:p/>
    <w:p>
      <w:r>
        <w:rPr>
          <w:t xml:space="preserve">Read first time 02/02/15.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physicians and physician assistants to provide requested demographic information at the time of license renewal; and amending RCW 18.71.080 and 18.71A.020.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080</w:t>
      </w:r>
      <w:r>
        <w:rPr/>
        <w:t xml:space="preserve"> and 2011 c 178 s 1 are each amended to read as follows:</w:t>
      </w:r>
    </w:p>
    <w:p>
      <w:pPr>
        <w:spacing w:before="0" w:after="0" w:line="408" w:lineRule="exact"/>
        <w:ind w:left="0" w:right="0" w:firstLine="576"/>
        <w:jc w:val="left"/>
      </w:pPr>
      <w:r>
        <w:rPr/>
        <w:t xml:space="preserve">(1)(a) Every person licensed to practice medicine in this state shall pay licensing fees and renew his or her license in accordance with administrative procedures and administrative requirements adopted as provided in RCW 43.70.250 and 43.70.280.</w:t>
      </w:r>
    </w:p>
    <w:p>
      <w:pPr>
        <w:spacing w:before="0" w:after="0" w:line="408" w:lineRule="exact"/>
        <w:ind w:left="0" w:right="0" w:firstLine="576"/>
        <w:jc w:val="left"/>
      </w:pPr>
      <w:r>
        <w:rPr/>
        <w:t xml:space="preserve">(b)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board certification, or other relevant data determined by the commission.</w:t>
      </w:r>
    </w:p>
    <w:p>
      <w:pPr>
        <w:spacing w:before="0" w:after="0" w:line="408" w:lineRule="exact"/>
        <w:ind w:left="0" w:right="0" w:firstLine="576"/>
        <w:jc w:val="left"/>
      </w:pPr>
      <w:r>
        <w:rPr/>
        <w:t xml:space="preserve">(c) A physician who resides and practices in Washington and obtains or renews a retired active license shall be exempt from licensing fees imposed under this section. The commission may establish rules governing mandatory continuing education requirements which shall be met by physicians applying for renewal of licenses. The rules shall provide that mandatory continuing education requirements may be met in part by physicians showing evidence of the completion of approved activities relating to professional liability risk management. The number of hours of continuing education for a physician holding a retired active license shall not exceed fifty hours per year.</w:t>
      </w:r>
    </w:p>
    <w:p>
      <w:pPr>
        <w:spacing w:before="0" w:after="0" w:line="408" w:lineRule="exact"/>
        <w:ind w:left="0" w:right="0" w:firstLine="576"/>
        <w:jc w:val="left"/>
      </w:pPr>
      <w:r>
        <w:rPr/>
        <w:t xml:space="preserve">(2) 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 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The commission, in its sole discretion, may permit an applicant who has not renewed his or her license to be licensed without examination if it is satisfied that such applicant meets all the requirements for licensure in this state, and is competent to engage in the practice of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2011 c 178 s 2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
      <w:pPr>
        <w:jc w:val="center"/>
      </w:pPr>
      <w:r>
        <w:rPr>
          <w:b/>
        </w:rPr>
        <w:t>--- END ---</w:t>
      </w:r>
    </w:p>
    <w:sectPr>
      <w:pgNumType w:start="1"/>
      <w:footerReference xmlns:r="http://schemas.openxmlformats.org/officeDocument/2006/relationships" r:id="R0211ea26e6294b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f0ec7241834d02" /><Relationship Type="http://schemas.openxmlformats.org/officeDocument/2006/relationships/footer" Target="/word/footer.xml" Id="R0211ea26e6294ba8" /></Relationships>
</file>