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5ffdd0c2a54e7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Rivers, Nelson, Dansel, Hatfield, Pearson, Fain, Liias, and Hobbs)</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official duties of state officers; and reenacting and amending RCW 42.52.010.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RCW 42.17A.005.</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thirty days of receipt or donated to a charitable organization within thirty days of receipt;</w:t>
      </w:r>
    </w:p>
    <w:p>
      <w:pPr>
        <w:spacing w:before="0" w:after="0" w:line="408" w:lineRule="exact"/>
        <w:ind w:left="0" w:right="0" w:firstLine="576"/>
        <w:jc w:val="left"/>
      </w:pPr>
      <w:r>
        <w:rPr/>
        <w:t xml:space="preserve">(h) Campaign contributions reported under chapter 42.17A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"Official duty" means</w:t>
      </w:r>
      <w:r>
        <w:rPr>
          <w:u w:val="single"/>
        </w:rPr>
        <w:t xml:space="preserve">: (a) For a state officer holding an elective office,</w:t>
      </w:r>
      <w:r>
        <w:rPr/>
        <w:t xml:space="preserve"> those duties </w:t>
      </w:r>
      <w:r>
        <w:t>((</w:t>
      </w:r>
      <w:r>
        <w:rPr>
          <w:strike/>
        </w:rPr>
        <w:t xml:space="preserve">within the specific scope of employment of the state officer or state employee as defined by the officer's or employee's agency or by statute or the state Constitution</w:t>
      </w:r>
      <w:r>
        <w:t>))</w:t>
      </w:r>
      <w:r>
        <w:rPr/>
        <w:t xml:space="preserve"> </w:t>
      </w:r>
      <w:r>
        <w:rPr>
          <w:u w:val="single"/>
        </w:rPr>
        <w:t xml:space="preserve">prescribed in the state Constitution, state statutes, or agency rules, legislatively funded or mandated authority and responsibilities, and tasks or actions directly related to carrying out the state officer's other official duties; and (b) for a state employee or a state officer who is not holding an elective office, those duties within the specific scope of employment of the state officer or state employee as defined by the officer's or employee's agency or by statute or the state Constitution</w:t>
      </w:r>
      <w:r>
        <w:rPr/>
        <w:t xml:space="preserve">.</w:t>
      </w:r>
    </w:p>
    <w:p>
      <w:pPr>
        <w:spacing w:before="0" w:after="0" w:line="408" w:lineRule="exact"/>
        <w:ind w:left="0" w:right="0" w:firstLine="576"/>
        <w:jc w:val="left"/>
      </w:pPr>
      <w:r>
        <w:rPr/>
        <w:t xml:space="preserve">(13)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rPr/>
        <w:t xml:space="preserve">(14) "Person" means any individual, partnership, association, corporation, firm, institution, or other entity, whether or not operated for profit.</w:t>
      </w:r>
    </w:p>
    <w:p>
      <w:pPr>
        <w:spacing w:before="0" w:after="0" w:line="408" w:lineRule="exact"/>
        <w:ind w:left="0" w:right="0" w:firstLine="576"/>
        <w:jc w:val="left"/>
      </w:pPr>
      <w:r>
        <w:rPr/>
        <w:t xml:space="preserve">(15)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rPr/>
        <w:t xml:space="preserve">(16)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rPr/>
        <w:t xml:space="preserve">(17)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rPr/>
        <w:t xml:space="preserve">(18)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rPr/>
        <w:t xml:space="preserve">(19)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rPr/>
        <w:t xml:space="preserve">(20)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rPr/>
        <w:t xml:space="preserve">(21)(a)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rPr/>
        <w:t xml:space="preserve">(22) "University" includes "state universities" and "regional universities" as defined in RCW 28B.10.016 and also includes any research or technology institute affiliated with a university, including without limitation, the Spokane intercollegiate research and technology institute and the Washington technology center.</w:t>
      </w:r>
    </w:p>
    <w:p>
      <w:pPr>
        <w:spacing w:before="0" w:after="0" w:line="408" w:lineRule="exact"/>
        <w:ind w:left="0" w:right="0" w:firstLine="576"/>
        <w:jc w:val="left"/>
      </w:pPr>
      <w:r>
        <w:rPr/>
        <w:t xml:space="preserve">(23)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
      <w:pPr>
        <w:jc w:val="center"/>
      </w:pPr>
      <w:r>
        <w:rPr>
          <w:b/>
        </w:rPr>
        <w:t>--- END ---</w:t>
      </w:r>
    </w:p>
    <w:sectPr>
      <w:pgNumType w:start="1"/>
      <w:footerReference xmlns:r="http://schemas.openxmlformats.org/officeDocument/2006/relationships" r:id="R581b13af353540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fcd06450c485b" /><Relationship Type="http://schemas.openxmlformats.org/officeDocument/2006/relationships/footer" Target="/word/footer.xml" Id="R581b13af3535406b" /></Relationships>
</file>