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364946d804173" /></Relationships>
</file>

<file path=word/document.xml><?xml version="1.0" encoding="utf-8"?>
<w:document xmlns:w="http://schemas.openxmlformats.org/wordprocessingml/2006/main">
  <w:body>
    <w:p>
      <w:r>
        <w:t>S-1433.2</w:t>
      </w:r>
    </w:p>
    <w:p>
      <w:pPr>
        <w:jc w:val="center"/>
      </w:pPr>
      <w:r>
        <w:t>_______________________________________________</w:t>
      </w:r>
    </w:p>
    <w:p/>
    <w:p>
      <w:pPr>
        <w:jc w:val="center"/>
      </w:pPr>
      <w:r>
        <w:rPr>
          <w:b/>
        </w:rPr>
        <w:t>SENATE BILL 5889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Miloscia</w:t>
      </w:r>
    </w:p>
    <w:p/>
    <w:p>
      <w:r>
        <w:rPr>
          <w:t xml:space="preserve">Read first time 02/09/15.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rPr>
          <w:u w:val="single"/>
        </w:rPr>
        <w:t xml:space="preserve">restoration</w:t>
      </w:r>
      <w:r>
        <w:rPr/>
        <w:t xml:space="preserve"> treatment or evaluation services related to competency, or to extend an offer of admission for legally authorized services following dismissal of charges based on </w:t>
      </w:r>
      <w:r>
        <w:t>((</w:t>
      </w:r>
      <w:r>
        <w:rPr>
          <w:strike/>
        </w:rPr>
        <w:t xml:space="preserve">incompetent</w:t>
      </w:r>
      <w:r>
        <w:t>))</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t xml:space="preserve">(ii)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t xml:space="preserve">(iii)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mental health and medical records, police reports, the names and addresses of the attorneys for the defendant and state or county, the name of the judge ordering the evaluation, information about the alleged crime, a summary of the reasons for the evaluation request,</w:t>
      </w:r>
      <w:r>
        <w:rPr/>
        <w:t xml:space="preserve"> and criminal history information related to the defendant. The </w:t>
      </w:r>
      <w:r>
        <w:t>((</w:t>
      </w:r>
      <w:r>
        <w:rPr>
          <w:strike/>
        </w:rPr>
        <w:t xml:space="preserve">targets</w:t>
      </w:r>
      <w:r>
        <w:t>))</w:t>
      </w:r>
      <w:r>
        <w:rPr>
          <w:u w:val="single"/>
        </w:rPr>
        <w:t xml:space="preserve">maximum time limits</w:t>
      </w:r>
      <w:r>
        <w:rPr/>
        <w:t xml:space="preserve"> in (a)(i) and (ii) of this subsection shall be phased in over a </w:t>
      </w:r>
      <w:r>
        <w:t>((</w:t>
      </w:r>
      <w:r>
        <w:rPr>
          <w:strike/>
        </w:rPr>
        <w:t xml:space="preserve">six-month</w:t>
      </w:r>
      <w:r>
        <w:t>))</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medical history information which is in the custody of a third party and cannot be immediately obtained by the department. Completion of a competency evaluation shall not be postponed for procurement of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NumType w:start="1"/>
      <w:footerReference xmlns:r="http://schemas.openxmlformats.org/officeDocument/2006/relationships" r:id="R27d862d3293148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366483a59417b" /><Relationship Type="http://schemas.openxmlformats.org/officeDocument/2006/relationships/footer" Target="/word/footer.xml" Id="R27d862d3293148a1" /></Relationships>
</file>