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e4605cdee494b" /></Relationships>
</file>

<file path=word/document.xml><?xml version="1.0" encoding="utf-8"?>
<w:document xmlns:w="http://schemas.openxmlformats.org/wordprocessingml/2006/main">
  <w:body>
    <w:p>
      <w:r>
        <w:t>S-0006.2</w:t>
      </w:r>
    </w:p>
    <w:p>
      <w:pPr>
        <w:jc w:val="center"/>
      </w:pPr>
      <w:r>
        <w:t>_______________________________________________</w:t>
      </w:r>
    </w:p>
    <w:p/>
    <w:p>
      <w:pPr>
        <w:jc w:val="center"/>
      </w:pPr>
      <w:r>
        <w:rPr>
          <w:b/>
        </w:rPr>
        <w:t>SENATE BILL 5919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Padden, and Miloscia</w:t>
      </w:r>
    </w:p>
    <w:p/>
    <w:p>
      <w:r>
        <w:rPr>
          <w:t xml:space="preserve">Read first time 02/10/15.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decision making for death with dignity decisions; and amending RCW 70.245.010, 70.245.040, and 70.245.220.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physician" means the physician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physician" means a physician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or psychologist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physician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w:t>
      </w:r>
      <w:r>
        <w:t>((</w:t>
      </w:r>
      <w:r>
        <w:rPr>
          <w:strike/>
        </w:rPr>
        <w:t xml:space="preserve">and</w:t>
      </w:r>
      <w:r>
        <w:t>))</w:t>
      </w:r>
      <w:r>
        <w:rPr/>
        <w:t xml:space="preserve"> pain control</w:t>
      </w:r>
      <w:r>
        <w:rPr>
          <w:u w:val="single"/>
        </w:rPr>
        <w:t xml:space="preserve">, treatment for the purpose of cure, and treatment for the purpose of extending the patient's life</w:t>
      </w:r>
      <w:r>
        <w:rPr/>
        <w:t xml:space="preserve">.</w:t>
      </w:r>
    </w:p>
    <w:p>
      <w:pPr>
        <w:spacing w:before="0" w:after="0" w:line="408" w:lineRule="exact"/>
        <w:ind w:left="0" w:right="0" w:firstLine="576"/>
        <w:jc w:val="left"/>
      </w:pPr>
      <w:r>
        <w:rPr/>
        <w:t xml:space="preserve">(8) "Medically confirmed" means the medical opinion of the attending physician has been confirmed by a consulting physician who has examined the patient and the patient's relevant medical records.</w:t>
      </w:r>
    </w:p>
    <w:p>
      <w:pPr>
        <w:spacing w:before="0" w:after="0" w:line="408" w:lineRule="exact"/>
        <w:ind w:left="0" w:right="0" w:firstLine="576"/>
        <w:jc w:val="left"/>
      </w:pPr>
      <w:r>
        <w:rPr/>
        <w:t xml:space="preserve">(9) "Patient" means a person who is under the care of a physician.</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physician shall:</w:t>
      </w:r>
    </w:p>
    <w:p>
      <w:pPr>
        <w:spacing w:before="0" w:after="0" w:line="408" w:lineRule="exact"/>
        <w:ind w:left="0" w:right="0" w:firstLine="576"/>
        <w:jc w:val="left"/>
      </w:pPr>
      <w:r>
        <w:rPr/>
        <w:t xml:space="preserve">(a) Make the initial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His or her medical diagnosis;</w:t>
      </w:r>
    </w:p>
    <w:p>
      <w:pPr>
        <w:spacing w:before="0" w:after="0" w:line="408" w:lineRule="exact"/>
        <w:ind w:left="0" w:right="0" w:firstLine="576"/>
        <w:jc w:val="left"/>
      </w:pPr>
      <w:r>
        <w:rPr/>
        <w:t xml:space="preserve">(ii) His or her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w:t>
      </w:r>
      <w:r>
        <w:t>((</w:t>
      </w:r>
      <w:r>
        <w:rPr>
          <w:strike/>
        </w:rPr>
        <w:t xml:space="preserve">and</w:t>
      </w:r>
      <w:r>
        <w:t>))</w:t>
      </w:r>
      <w:r>
        <w:rPr/>
        <w:t xml:space="preserve"> pain control</w:t>
      </w:r>
      <w:r>
        <w:rPr>
          <w:u w:val="single"/>
        </w:rPr>
        <w:t xml:space="preserve">, treatment for the purpose of cure, and treatment for the purpose of extending the patient's life</w:t>
      </w:r>
      <w:r>
        <w:rPr/>
        <w:t xml:space="preserve">;</w:t>
      </w:r>
    </w:p>
    <w:p>
      <w:pPr>
        <w:spacing w:before="0" w:after="0" w:line="408" w:lineRule="exact"/>
        <w:ind w:left="0" w:right="0" w:firstLine="576"/>
        <w:jc w:val="left"/>
      </w:pPr>
      <w:r>
        <w:rPr/>
        <w:t xml:space="preserve">(d) Refer the patient to a consulting physician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fifteen-day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physician is authorized under statute and rule to dispense and has a current drug enforcement administration certificate; or</w:t>
      </w:r>
    </w:p>
    <w:p>
      <w:pPr>
        <w:spacing w:before="0" w:after="0" w:line="408" w:lineRule="exact"/>
        <w:ind w:left="0" w:right="0" w:firstLine="576"/>
        <w:jc w:val="left"/>
      </w:pPr>
      <w:r>
        <w:rPr/>
        <w:t xml:space="preserve">(ii) With the patient's written consent:</w:t>
      </w:r>
    </w:p>
    <w:p>
      <w:pPr>
        <w:spacing w:before="0" w:after="0" w:line="408" w:lineRule="exact"/>
        <w:ind w:left="0" w:right="0" w:firstLine="576"/>
        <w:jc w:val="left"/>
      </w:pPr>
      <w:r>
        <w:rPr/>
        <w:t xml:space="preserve">(A) Contact a pharmacist and inform the pharmacist of the prescription; and</w:t>
      </w:r>
    </w:p>
    <w:p>
      <w:pPr>
        <w:spacing w:before="0" w:after="0" w:line="408" w:lineRule="exact"/>
        <w:ind w:left="0" w:right="0" w:firstLine="576"/>
        <w:jc w:val="left"/>
      </w:pPr>
      <w:r>
        <w:rPr/>
        <w:t xml:space="preserve">(B) Deliver the written prescription personally, by mail or facsimile to the pharmacist, who will dispense the medications directly to either the patient, the attending physician, or an expressly identified agent of the patient. Medications dispensed pursuant to this subsection shall not be dispensed by mail or other form of courier.</w:t>
      </w:r>
    </w:p>
    <w:p>
      <w:pPr>
        <w:spacing w:before="0" w:after="0" w:line="408" w:lineRule="exact"/>
        <w:ind w:left="0" w:right="0" w:firstLine="576"/>
        <w:jc w:val="left"/>
      </w:pPr>
      <w:r>
        <w:rPr/>
        <w:t xml:space="preserve">(2) The attending physician may sign the patient's death certificate which shall list the underlying terminal disease as the cause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576"/>
        <w:jc w:val="center"/>
      </w:pPr>
      <w:r>
        <w:rPr/>
        <w:t xml:space="preserve">REQUEST FOR MEDICATION TO END MY LIFE IN A HUMAN [HUMANE]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physician has determined is a terminal disease and which has been medically confirmed by a consulting physician.</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w:t>
      </w:r>
      <w:r>
        <w:t>((</w:t>
      </w:r>
      <w:r>
        <w:rPr>
          <w:strike/>
        </w:rPr>
        <w:t xml:space="preserve">and</w:t>
      </w:r>
      <w:r>
        <w:t>))</w:t>
      </w:r>
      <w:r>
        <w:rPr/>
        <w:t xml:space="preserve"> pain control</w:t>
      </w:r>
      <w:r>
        <w:rPr>
          <w:u w:val="single"/>
        </w:rPr>
        <w:t xml:space="preserve">, treatment for the purpose of cure, and treatment for the purpose of extending my life</w:t>
      </w:r>
      <w:r>
        <w:rPr/>
        <w:t xml:space="preserve">.</w:t>
      </w:r>
    </w:p>
    <w:p>
      <w:pPr>
        <w:spacing w:before="0" w:after="0" w:line="408" w:lineRule="exact"/>
        <w:ind w:left="0" w:right="0" w:firstLine="576"/>
        <w:jc w:val="left"/>
      </w:pPr>
      <w:r>
        <w:rPr/>
        <w:t xml:space="preserve">I request that my attending physician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physician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576"/>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Pr>
          <w:p>
            <w:pPr>
              <w:spacing w:before="0" w:after="0" w:line="408" w:lineRule="exact"/>
              <w:ind w:left="0" w:right="0" w:firstLine="0"/>
              <w:jc w:val="left"/>
            </w:pP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Pr>
          <w:p>
            <w:pPr>
              <w:tabs>
                <w:tab w:val="right" w:leader="dot" w:pos="1188"/>
              </w:tabs>
              <w:spacing w:before="0" w:after="0" w:line="408" w:lineRule="exact"/>
              <w:ind w:left="0" w:right="0" w:firstLine="0"/>
              <w:jc w:val="left"/>
            </w:pPr>
            <w:r>
              <w:tab/>
            </w:r>
          </w:p>
        </w:tc>
        <w:tc>
          <w:tcPr>
            <w:tcW w:w="1200" w:type="dxa"/>
            <w:vAlign w:val="top"/>
          </w:tcPr>
          <w:p>
            <w:pPr>
              <w:tabs>
                <w:tab w:val="right" w:leader="dot" w:pos="1188"/>
              </w:tabs>
              <w:spacing w:before="0" w:after="0" w:line="408" w:lineRule="exact"/>
              <w:ind w:left="0" w:right="0" w:firstLine="0"/>
              <w:jc w:val="left"/>
            </w:pPr>
            <w:r>
              <w:tab/>
            </w:r>
          </w:p>
        </w:tc>
        <w:tc>
          <w:tcPr>
            <w:tcW w:w="2460" w:type="dxa"/>
            <w:vAlign w:val="top"/>
          </w:tcPr>
          <w:p>
            <w:pPr>
              <w:spacing w:before="0" w:after="0" w:line="408" w:lineRule="exact"/>
              <w:ind w:left="0" w:right="0" w:firstLine="0"/>
              <w:jc w:val="left"/>
            </w:pPr>
            <w:r>
              <w:rPr>
                <w:rFonts w:ascii="Times New Roman" w:hAnsi="Times New Roman"/>
                <w:sz w:val="20"/>
              </w:rPr>
              <w:t xml:space="preserve">4. Is not a patient for whom either of us is the attending physician.</w:t>
            </w:r>
          </w:p>
        </w:tc>
      </w:tr>
    </w:tbl>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Printed Name of Witness 1:</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Signature of Witness 1/Date:</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Printed Name of Witness 2:</w:t>
            </w:r>
            <w:r>
              <w:tab/>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p>
      <w:pPr>
        <w:jc w:val="center"/>
      </w:pPr>
      <w:r>
        <w:rPr>
          <w:b/>
        </w:rPr>
        <w:t>--- END ---</w:t>
      </w:r>
    </w:p>
    <w:sectPr>
      <w:pgNumType w:start="1"/>
      <w:footerReference xmlns:r="http://schemas.openxmlformats.org/officeDocument/2006/relationships" r:id="Rb2f801ddb3814e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806ecffe047ba" /><Relationship Type="http://schemas.openxmlformats.org/officeDocument/2006/relationships/footer" Target="/word/footer.xml" Id="Rb2f801ddb3814e75" /></Relationships>
</file>