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9d25165f64479" /></Relationships>
</file>

<file path=word/document.xml><?xml version="1.0" encoding="utf-8"?>
<w:document xmlns:w="http://schemas.openxmlformats.org/wordprocessingml/2006/main">
  <w:body>
    <w:p>
      <w:r>
        <w:t>S-1912.2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5925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Senate Human Services, Mental Health &amp; Housing (originally sponsored by Senator Hargrove)</w:t>
      </w:r>
    </w:p>
    <w:p/>
    <w:p>
      <w:r>
        <w:rPr>
          <w:t xml:space="preserve">READ FIRST TIME 02/20/15.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diversion of nonfelony charges when a party has raised the issue of competency to stand trial; and adding a new section to chapter 10.77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10</w:t>
      </w:r>
      <w:r>
        <w:rPr/>
        <w:t xml:space="preserve">.</w:t>
      </w:r>
      <w:r>
        <w:t xml:space="preserve">77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If the defendant is charged with a nonfelony offense, and the issue of competency to stand trial is raised by the court or a party under RCW 10.77.060, the prosecutor may continue with the competency process or dismiss the charges without prejudice and refer the defendant for assessment by a mental health professional, chemical dependency professional, or developmental disabilities professional to determine the appropriate service needs for the defendant.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This section does not apply to defendants with a current charge or prior conviction for a serious violent offense or sex offense as defined in RCW 9.94A.030.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5acb1ede3974fb5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5925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504387dfb34571" /><Relationship Type="http://schemas.openxmlformats.org/officeDocument/2006/relationships/footer" Target="/word/footer.xml" Id="Rf5acb1ede3974fb5" /></Relationships>
</file>