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15dd3f9e9406c" /></Relationships>
</file>

<file path=word/document.xml><?xml version="1.0" encoding="utf-8"?>
<w:document xmlns:w="http://schemas.openxmlformats.org/wordprocessingml/2006/main">
  <w:body>
    <w:p>
      <w:r>
        <w:t>S-4583.1</w:t>
      </w:r>
    </w:p>
    <w:p>
      <w:pPr>
        <w:jc w:val="center"/>
      </w:pPr>
      <w:r>
        <w:t>_______________________________________________</w:t>
      </w:r>
    </w:p>
    <w:p/>
    <w:p>
      <w:pPr>
        <w:jc w:val="center"/>
      </w:pPr>
      <w:r>
        <w:rPr>
          <w:b/>
        </w:rPr>
        <w:t>SUBSTITUTE SENATE BILL 6154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Miloscia, Rolfes, Pearson, O'Ban, Conway, and McAuliffe)</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entity, the office of the corrections ombuds, to work for improved conditions and programs, and support fair treatment of inmates in Washington state. The legislature further intends that the ombuds support changes that facilitate the successful reentry of inmates into the community, and promote high standards of justice, accountability, and transparency in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legislature hereby authorizes the creation of the office of the corrections ombuds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July 1, 2016,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and the governor with recommendations regarding the ombuds budget and changes in the law that would enhance the ombuds effectiveness.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council membership in subsection (2) of this section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Washington state.</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An individual with dispute resolution training who has experience working in the criminal justice or corrections fields.</w:t>
      </w:r>
    </w:p>
    <w:p>
      <w:pPr>
        <w:spacing w:before="0" w:after="0" w:line="408" w:lineRule="exact"/>
        <w:ind w:left="0" w:right="0" w:firstLine="576"/>
        <w:jc w:val="left"/>
      </w:pPr>
      <w:r>
        <w:rPr/>
        <w:t xml:space="preserve">(4) The governor shall select the following two additional members of the council:</w:t>
      </w:r>
    </w:p>
    <w:p>
      <w:pPr>
        <w:spacing w:before="0" w:after="0" w:line="408" w:lineRule="exact"/>
        <w:ind w:left="0" w:right="0" w:firstLine="576"/>
        <w:jc w:val="left"/>
      </w:pPr>
      <w:r>
        <w:rPr/>
        <w:t xml:space="preserve">(a) A representative of the department.</w:t>
      </w:r>
    </w:p>
    <w:p>
      <w:pPr>
        <w:spacing w:before="0" w:after="0" w:line="408" w:lineRule="exact"/>
        <w:ind w:left="0" w:right="0" w:firstLine="576"/>
        <w:jc w:val="left"/>
      </w:pPr>
      <w:r>
        <w:rPr/>
        <w:t xml:space="preserve">(b) A representative of the collective bargaining unit of employees of the department.</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(6) Council members serve a term of three years, except that the council shall create and implement a system of staggered terms, and no member may serve more than two consecutive terms. The council shall convene at least quarterly. Council 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governor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the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any complaint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Commence litigation, but state funds may not be used for purposes of litigation.</w:t>
      </w:r>
    </w:p>
    <w:p>
      <w:pPr>
        <w:spacing w:before="0" w:after="0" w:line="408" w:lineRule="exact"/>
        <w:ind w:left="0" w:right="0" w:firstLine="576"/>
        <w:jc w:val="left"/>
      </w:pPr>
      <w:r>
        <w:rPr/>
        <w:t xml:space="preserve">(iii)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unaccompanied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unaccompanied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Unaccompanied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If the department or a department employee denies access to any premises under the control of the department to the ombuds, or subcontractors or volunteers who are performing ombuds functions or acting under the supervision of the ombuds, the department is liable for a fine of up to one thousand dollars per day of denied access.</w:t>
      </w:r>
    </w:p>
    <w:p>
      <w:pPr>
        <w:spacing w:before="0" w:after="0" w:line="408" w:lineRule="exact"/>
        <w:ind w:left="0" w:right="0" w:firstLine="576"/>
        <w:jc w:val="left"/>
      </w:pPr>
      <w:r>
        <w:rPr/>
        <w:t xml:space="preserve">(5)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three business days after the ombuds makes a written request for such records.</w:t>
      </w:r>
    </w:p>
    <w:p>
      <w:pPr>
        <w:spacing w:before="0" w:after="0" w:line="408" w:lineRule="exact"/>
        <w:ind w:left="0" w:right="0" w:firstLine="576"/>
        <w:jc w:val="left"/>
      </w:pPr>
      <w:r>
        <w:rPr/>
        <w:t xml:space="preserve">(b) The ombuds must have immediate access, not later than twenty-four hours after the ombuds makes such a request, to relevant records, without consent from another party, if the ombuds determines there is probable cause to believe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(6)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between the office and an inmate is confidential and must be processed as privileged correspondence in the same manner as legal correspondence between inmates and courts, attorneys, or public officials.</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 If the department or a department employee willfully hinders the lawful actions of the ombuds or willfully refuses to comply with the lawful demands of the ombuds, the department is liable to a fine of up to one thousand dollars per incident of hindrance or noncompliance.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928fb8cb6d2440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cc83eb650a47a8" /><Relationship Type="http://schemas.openxmlformats.org/officeDocument/2006/relationships/footer" Target="/word/footer.xml" Id="R928fb8cb6d244008" /></Relationships>
</file>