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cf295b90184a29" /></Relationships>
</file>

<file path=word/document.xml><?xml version="1.0" encoding="utf-8"?>
<w:document xmlns:w="http://schemas.openxmlformats.org/wordprocessingml/2006/main">
  <w:body>
    <w:p>
      <w:r>
        <w:t>S-3617.1</w:t>
      </w:r>
    </w:p>
    <w:p>
      <w:pPr>
        <w:jc w:val="center"/>
      </w:pPr>
      <w:r>
        <w:t>_______________________________________________</w:t>
      </w:r>
    </w:p>
    <w:p/>
    <w:p>
      <w:pPr>
        <w:jc w:val="center"/>
      </w:pPr>
      <w:r>
        <w:rPr>
          <w:b/>
        </w:rPr>
        <w:t>SENATE BILL 6166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Takko, Rivers, Ericksen, Chase, Roach, Becker, Sheldon, and Benton</w:t>
      </w:r>
    </w:p>
    <w:p/>
    <w:p>
      <w:r>
        <w:rPr>
          <w:t xml:space="preserve">Prefiled 01/06/16.</w:t>
        </w:rPr>
      </w:r>
      <w:r>
        <w:rPr>
          <w:t xml:space="preserve">Read first time 01/11/16.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incremental electricity produced as a result of certain capital investment projects to qualify as an eligible renewable resource under the energy independence act; and amending RCW 19.285.030 and 19.285.080.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 or</w:t>
      </w:r>
    </w:p>
    <w:p>
      <w:pPr>
        <w:spacing w:before="0" w:after="0" w:line="408" w:lineRule="exact"/>
        <w:ind w:left="0" w:right="0" w:firstLine="576"/>
        <w:jc w:val="left"/>
      </w:pPr>
      <w:r>
        <w:rPr>
          <w:u w:val="single"/>
        </w:rPr>
        <w:t xml:space="preserve">(f) Incremental electricity produced as a result of a capital investment project completed after March 31, 1999, that increases, relative to a baseline level of generation prior to the capital investment project, the amount of electricity generated by a generation facility that commenced operation before March 31, 1999, and is powered by a renewable resource other than freshwater</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The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 a qualifying utility's decision to pursue alternative compliance in RCW 19.285.040(2) (d) or (i) or 19.285.050(1); </w:t>
      </w:r>
      <w:r>
        <w:t>((</w:t>
      </w:r>
      <w:r>
        <w:rPr>
          <w:strike/>
        </w:rPr>
        <w:t xml:space="preserve">and</w:t>
      </w:r>
      <w:r>
        <w:t>))</w:t>
      </w:r>
      <w:r>
        <w:rPr/>
        <w:t xml:space="preserve"> the format and content of reports required in RCW 19.285.070</w:t>
      </w:r>
      <w:r>
        <w:rPr>
          <w:u w:val="single"/>
        </w:rPr>
        <w:t xml:space="preserve">; and the development of a methodology for calculating baseline levels of generation under RCW 19.285.030(12)(f)</w:t>
      </w:r>
      <w:r>
        <w:rPr/>
        <w:t xml:space="preserve">.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
      <w:pPr>
        <w:jc w:val="center"/>
      </w:pPr>
      <w:r>
        <w:rPr>
          <w:b/>
        </w:rPr>
        <w:t>--- END ---</w:t>
      </w:r>
    </w:p>
    <w:sectPr>
      <w:pgNumType w:start="1"/>
      <w:footerReference xmlns:r="http://schemas.openxmlformats.org/officeDocument/2006/relationships" r:id="Reaf4ff8fe33244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63648e193447f4" /><Relationship Type="http://schemas.openxmlformats.org/officeDocument/2006/relationships/footer" Target="/word/footer.xml" Id="Reaf4ff8fe332446f" /></Relationships>
</file>