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2ab84eb814f1d" /></Relationships>
</file>

<file path=word/document.xml><?xml version="1.0" encoding="utf-8"?>
<w:document xmlns:w="http://schemas.openxmlformats.org/wordprocessingml/2006/main">
  <w:body>
    <w:p>
      <w:r>
        <w:t>S-3664.2</w:t>
      </w:r>
    </w:p>
    <w:p>
      <w:pPr>
        <w:jc w:val="center"/>
      </w:pPr>
      <w:r>
        <w:t>_______________________________________________</w:t>
      </w:r>
    </w:p>
    <w:p/>
    <w:p>
      <w:pPr>
        <w:jc w:val="center"/>
      </w:pPr>
      <w:r>
        <w:rPr>
          <w:b/>
        </w:rPr>
        <w:t>SENATE BILL 6242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Pedersen, Padden, Roach, Hargrove, Pearson, Darneille, Frockt, and Sheldon</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indeterminate sentence review board; adding a new section to chapter 9.95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duties of the indeterminate sentence review board have been expanded beyond those envisioned when the sentencing reform act was adopted. Rather than an expiring jurisdiction tied to presentencing reform act prisoners, the indeterminate sentence review board has been given authority over the release and supervision of determinate plus sex offenders sentenced under RCW 9.94A.507, and the release and supervision of certain offenders who committed crimes while under the age of eighteen, pursuant to RCW 9.94A.730. In light of this expanded and important role within the criminal justice system, the legislature adopts immediate requirements for notice and transparency in release hearings, as well as recommending that chapter 9.95 RCW be updated by the relevant legislative committees in conjunction with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Upon receipt of a petition for early release submitted under RCW 9.94A.730, the indeterminate sentence review board must provide notice and a copy of a petition to the sentencing court, prosecuting attorney, and crime victim. The indeterminate sentence review board must also provide any assessment, psychological evaluation, institutional behavior record, or other examination of the offender to the sentencing court, prosecuting attorney, and crime victim. Notice of the early release hearing date, and any evaluations or information relevant to the release decision, must be provided at least ninety days before the early release hearing. The records described in this section, and other records reviewed by the board in response to the petition must be disclosed in full and without redaction. Copies of records to be provided to named parties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it is presumed that none of the records reviewed are exempt from public inspection and copying, in whole or in part, under the public records act, chapter 42.56 RCW, or other state or federal law. The board may not claim any exemption from public inspection or copying for the records reviewed for an early release petition.</w:t>
      </w:r>
    </w:p>
    <w:p>
      <w:pPr>
        <w:spacing w:before="0" w:after="0" w:line="408" w:lineRule="exact"/>
        <w:ind w:left="0" w:right="0" w:firstLine="576"/>
        <w:jc w:val="left"/>
      </w:pPr>
      <w:r>
        <w:rPr/>
        <w:t xml:space="preserve">(3) The board and its committees must video record all meetings and hearings relating to a petition for early release. The video recording may, where practical, be provided by TVW, or a successor nonprofit organization contracted with the secretary of state to provide public affairs television coverage. The board and its subcommittees must provide comprehensive minutes of all related meetings and hearings on a petition for early release.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videos and comprehensive minutes must be publicly and conspicuously posted on the board's web site within thirty days of the meeting or hearing, without any information withheld or redacted.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96567f306f4a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6b8d7e4ac483d" /><Relationship Type="http://schemas.openxmlformats.org/officeDocument/2006/relationships/footer" Target="/word/footer.xml" Id="Raf96567f306f4a25" /></Relationships>
</file>