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1768090624928" /></Relationships>
</file>

<file path=word/document.xml><?xml version="1.0" encoding="utf-8"?>
<w:document xmlns:w="http://schemas.openxmlformats.org/wordprocessingml/2006/main">
  <w:body>
    <w:p>
      <w:r>
        <w:t>S-4003.1</w:t>
      </w:r>
    </w:p>
    <w:p>
      <w:pPr>
        <w:jc w:val="center"/>
      </w:pPr>
      <w:r>
        <w:t>_______________________________________________</w:t>
      </w:r>
    </w:p>
    <w:p/>
    <w:p>
      <w:pPr>
        <w:jc w:val="center"/>
      </w:pPr>
      <w:r>
        <w:rPr>
          <w:b/>
        </w:rPr>
        <w:t>SENATE BILL 6524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Darneille, Jayapal, Hasegawa, Chase, and Pedersen</w:t>
      </w:r>
    </w:p>
    <w:p/>
    <w:p>
      <w:r>
        <w:rPr>
          <w:t xml:space="preserve">Read first time 01/25/16.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factors to be considered when sentencing youth in adult criminal court for crimes committed as minors; amending RCW 9.94A.535;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special consideration should be given when sentencing children for crimes in adult court. The United States supreme court has established that children are constitutionally different from adults for purposes of sentencing. The court has repeatedly considered the issue of diminished culpability of minors, relying on substantial and compelling brain science to conclude that children who commit crimes must be sentenced in a manner that recognizes their youth, culpability, and capacity to change. In the wake of these decisions, the legislature has taken steps to ensure that the mitigating factors associated with juvenile development be considered in sentencing for the most serious of offenses.</w:t>
      </w:r>
    </w:p>
    <w:p>
      <w:pPr>
        <w:spacing w:before="0" w:after="0" w:line="408" w:lineRule="exact"/>
        <w:ind w:left="0" w:right="0" w:firstLine="576"/>
        <w:jc w:val="left"/>
      </w:pPr>
      <w:r>
        <w:rPr/>
        <w:t xml:space="preserve">However, more work remains in this area, particularly with regard to criminal sentencing of defendants in adult court jurisdiction for crimes committed as minors. The United States supreme court in </w:t>
      </w:r>
      <w:r>
        <w:rPr>
          <w:i/>
        </w:rPr>
        <w:t xml:space="preserve">Kent v. United States</w:t>
      </w:r>
      <w:r>
        <w:rPr/>
        <w:t xml:space="preserve"> identified eight determinative factors to be considered when transferring a child to adult court jurisdiction. The legislature intends to ensure that judges are able to consider similar discretionary factors when sentencing defendants in adult court for crimes committed as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u w:val="single"/>
        </w:rPr>
        <w:t xml:space="preserve">(k) The defendant's age, sophistication, and role in the crime if the defendant is under adult court jurisdiction for a crime committed as a minor.</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4838699310ba4f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bcef89e0c9453f" /><Relationship Type="http://schemas.openxmlformats.org/officeDocument/2006/relationships/footer" Target="/word/footer.xml" Id="R4838699310ba4f8b" /></Relationships>
</file>