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cf9d6ab904ce7" /></Relationships>
</file>

<file path=word/document.xml><?xml version="1.0" encoding="utf-8"?>
<w:document xmlns:w="http://schemas.openxmlformats.org/wordprocessingml/2006/main">
  <w:body>
    <w:p>
      <w:r>
        <w:t>S-4369.1</w:t>
      </w:r>
    </w:p>
    <w:p>
      <w:pPr>
        <w:jc w:val="center"/>
      </w:pPr>
      <w:r>
        <w:t>_______________________________________________</w:t>
      </w:r>
    </w:p>
    <w:p/>
    <w:p>
      <w:pPr>
        <w:jc w:val="center"/>
      </w:pPr>
      <w:r>
        <w:rPr>
          <w:b/>
        </w:rPr>
        <w:t>SUBSTITUTE SENATE BILL 6570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Energy, Environment &amp; Telecommunications (originally sponsored by Senator Ericksen)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the expenditure of funds associated with the model toxics control act for the cleanup of toxic pollution; amending 2015 3rd sp.s. c 4 s 302 and 2015 3rd sp.s. c 3 ss 3062, 3055, and 3056 (uncodified); reenacting and amending RCW 70.105D.070;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declining global price of oil has resulted in a loss of revenues collected from the hazardous substance tax in Washington. It is the intent of the legislature to manage the decline in revenue to the state toxics control account, the local toxics control account, and the environmental legacy stewardship account by setting a policy that prioritizes cleanup of toxic sites, as they are a key driver of economic activity and community revitalization. The legislature finds that to achieve this policy, it is necessary to postpone the award of other projects, including grants and loans for managing storm water pollution and grants for public participation grants. It is the further intent of the legislature that the award of grants and loans to lesser priority programs shall resume upon the restoration of revenue to the state toxics control account, the local toxics control account, and the environmental legacy stewardship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$3,926,000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$13,173,000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$447,000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$117,073,000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$3,342,000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$44,101,000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$34,374,000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$6,040,000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$15,753,000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$8,605,000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strike/>
        </w:rPr>
        <w:t xml:space="preserve">$476,376,000</w:t>
      </w:r>
    </w:p>
    <w:p>
      <w:pPr>
        <w:spacing w:before="0" w:after="0" w:line="408" w:lineRule="exact"/>
        <w:ind w:left="0" w:right="0" w:firstLine="0"/>
        <w:jc w:val="left"/>
        <w:tabs>
          <w:tab w:val="right" w:leader="none" w:pos="9936"/>
        </w:tabs>
      </w:pPr>
      <w:r>
        <w:tab/>
      </w:r>
      <w:r>
        <w:rPr>
          <w:u w:val="single"/>
        </w:rPr>
        <w:t xml:space="preserve">$453,616,000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3062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0" w:after="0" w:line="408" w:lineRule="exact"/>
        <w:ind w:left="0" w:right="0" w:firstLine="576"/>
        <w:jc w:val="left"/>
        <w:tabs>
          <w:tab w:val="right" w:leader="dot" w:pos="9936"/>
        </w:tabs>
      </w:pPr>
      <w:r>
        <w:t>((</w:t>
      </w:r>
      <w:r>
        <w:rPr>
          <w:strike/>
        </w:rPr>
        <w:t xml:space="preserve">Local Toxics Control Account</w:t>
      </w:r>
      <w:r>
        <w:rPr>
          <w:rFonts w:ascii="Times New Roman" w:hAnsi="Times New Roman"/>
          <w:strike/>
        </w:rPr>
        <w:t xml:space="preserve">—</w:t>
      </w:r>
      <w:r>
        <w:rPr>
          <w:strike/>
        </w:rPr>
        <w:t xml:space="preserve">State</w:t>
      </w:r>
      <w:r>
        <w:tab/>
      </w:r>
      <w:r>
        <w:rPr>
          <w:strike/>
        </w:rPr>
        <w:t xml:space="preserve">$33,000,000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strike/>
        </w:rPr>
        <w:t xml:space="preserve">$333,000,000</w:t>
      </w:r>
    </w:p>
    <w:p>
      <w:pPr>
        <w:spacing w:before="0" w:after="0" w:line="408" w:lineRule="exact"/>
        <w:ind w:left="0" w:right="0" w:firstLine="0"/>
        <w:jc w:val="left"/>
        <w:tabs>
          <w:tab w:val="right" w:leader="none" w:pos="9936"/>
        </w:tabs>
      </w:pPr>
      <w:r>
        <w:tab/>
      </w:r>
      <w:r>
        <w:rPr>
          <w:u w:val="single"/>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2015 3rd sp.s. c 4 s 969 and 2015 3rd sp.s. c 3 s 7035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w:t>
      </w:r>
      <w:r>
        <w:t>((</w:t>
      </w:r>
      <w:r>
        <w:rPr>
          <w:strike/>
        </w:rPr>
        <w:t xml:space="preserve">2011-2013</w:t>
      </w:r>
      <w:r>
        <w:t>))</w:t>
      </w:r>
      <w:r>
        <w:rPr/>
        <w:t xml:space="preserve"> </w:t>
      </w:r>
      <w:r>
        <w:rPr>
          <w:u w:val="single"/>
        </w:rPr>
        <w:t xml:space="preserve">2015-2017</w:t>
      </w:r>
      <w:r>
        <w:rPr/>
        <w:t xml:space="preserve">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3055 (uncodified) is amended to read as follows: </w:t>
      </w:r>
    </w:p>
    <w:p>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strike/>
        </w:rPr>
        <w:t xml:space="preserve">$9,000,000</w:t>
      </w:r>
    </w:p>
    <w:p>
      <w:pPr>
        <w:tabs>
          <w:tab w:val="right" w:leader="none" w:pos="9936"/>
        </w:tabs>
        <w:ind w:left="0" w:right="0" w:firstLine="1440"/>
      </w:pPr>
      <w:r>
        <w:tab/>
      </w:r>
      <w:r>
        <w:rPr>
          <w:u w:val="single"/>
        </w:rPr>
        <w:t xml:space="preserve">$8,500,000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3056 (uncodified) is amended to read as follows: </w:t>
      </w:r>
    </w:p>
    <w:p>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0c93ed52a14f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cf07471a6b45f8" /><Relationship Type="http://schemas.openxmlformats.org/officeDocument/2006/relationships/footer" Target="/word/footer.xml" Id="R830c93ed52a14f75" /></Relationships>
</file>