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4e83901b343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and Liias; by request of Utilities &amp; Transportation Commission)</w:t>
      </w:r>
    </w:p>
    <w:p/>
    <w:p>
      <w:r>
        <w:rPr>
          <w:t xml:space="preserve">READ FIRST TIME 02/17/15.  </w:t>
        </w:rPr>
      </w:r>
    </w:p>
    <w:p>
      <w:r>
        <w:br/>
      </w:r>
    </w:p>
    <w:p>
      <w:r>
        <w:fldChar w:fldCharType="begin"/>
      </w:r>
      <w:r>
        <w:instrText xml:space="default"> ADVANCE \y328 </w:instrText>
      </w:r>
      <w:r>
        <w:fldChar w:fldCharType="end"/>
      </w:r>
    </w:p>
    <w:p>
      <w:pPr>
        <w:ind w:left="0" w:right="0" w:firstLine="360"/>
        <w:jc w:val="both"/>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ind w:left="0" w:right="0" w:firstLine="360"/>
        <w:jc w:val="both"/>
      </w:pPr>
      <w:r>
        <w:rPr/>
        <w:t xml:space="preserve">Unless the context otherwise requires, the definitions and general provisions in this section govern the construction of this chapter:</w:t>
      </w:r>
    </w:p>
    <w:p>
      <w:pPr>
        <w:ind w:left="0" w:right="0" w:firstLine="360"/>
        <w:jc w:val="both"/>
      </w:pPr>
      <w:r>
        <w:rPr/>
        <w:t xml:space="preserve">(1) "Commission" means the Washington utilities and transportation commission;</w:t>
      </w:r>
    </w:p>
    <w:p>
      <w:pPr>
        <w:ind w:left="0" w:right="0" w:firstLine="360"/>
        <w:jc w:val="both"/>
      </w:pPr>
      <w:r>
        <w:rPr/>
        <w:t xml:space="preserve">(2) "Person or persons" means an individual, a corporation, association, joint stock association, and partnership, their lessees, trustees, or receivers;</w:t>
      </w:r>
    </w:p>
    <w:p>
      <w:pPr>
        <w:ind w:left="0" w:right="0" w:firstLine="360"/>
        <w:jc w:val="both"/>
      </w:pPr>
      <w:r>
        <w:rPr/>
        <w:t xml:space="preserve">(3) "Public highway" includes every public street, road, or highway in this state;</w:t>
      </w:r>
    </w:p>
    <w:p>
      <w:pPr>
        <w:ind w:left="0" w:right="0" w:firstLine="360"/>
        <w:jc w:val="both"/>
      </w:pPr>
      <w:r>
        <w:rPr/>
        <w:t xml:space="preserve">(4) "Motor vehicle" means every self-propelled vehicle with seating capacity for seven or more persons, excluding the driver;</w:t>
      </w:r>
    </w:p>
    <w:p>
      <w:pPr>
        <w:ind w:left="0" w:right="0" w:firstLine="360"/>
        <w:jc w:val="both"/>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ind w:left="0" w:right="0" w:firstLine="360"/>
        <w:jc w:val="both"/>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ind w:left="0" w:right="0" w:firstLine="360"/>
        <w:jc w:val="both"/>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ind w:left="0" w:right="0" w:firstLine="360"/>
        <w:jc w:val="both"/>
      </w:pPr>
      <w:r>
        <w:rPr>
          <w:u w:val="single"/>
        </w:rPr>
        <w:t xml:space="preserve">(8) "Double-decker bus" means a motor vehicle with more than one passenger deck. A person using a double-decker bus must comply with the maximum height vehicle requirements contained in RCW 46.44.020;</w:t>
      </w:r>
    </w:p>
    <w:p>
      <w:pPr>
        <w:ind w:left="0" w:right="0" w:firstLine="360"/>
        <w:jc w:val="both"/>
      </w:pPr>
      <w:r>
        <w:rPr>
          <w:u w:val="single"/>
        </w:rPr>
        <w:t xml:space="preserve">(9) Subject to the exclusions of RCW 81.70.030, "party bus" means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pPr>
        <w:ind w:left="0" w:right="0" w:firstLine="360"/>
        <w:jc w:val="both"/>
      </w:pPr>
      <w:r>
        <w:rPr>
          <w:u w:val="single"/>
        </w:rPr>
        <w:t xml:space="preserve">(10) "Permit holder" means a holder of an appropriate special permit issued under chapter 66.20 RCW who is twenty-one years of age or older and who is responsible for compliance with the requirements of section 8 of this act and chapter 66.20 RCW during the provision of transportation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ind w:left="0" w:right="0" w:firstLine="360"/>
        <w:jc w:val="both"/>
      </w:pPr>
      <w:r>
        <w:rPr/>
        <w:t xml:space="preserve">This chapter does not apply to:</w:t>
      </w:r>
    </w:p>
    <w:p>
      <w:pPr>
        <w:ind w:left="0" w:right="0" w:firstLine="360"/>
        <w:jc w:val="both"/>
      </w:pPr>
      <w:r>
        <w:rPr/>
        <w:t xml:space="preserve">(1) </w:t>
      </w:r>
      <w:r>
        <w:t>((</w:t>
      </w:r>
      <w:r>
        <w:rPr>
          <w:strike/>
        </w:rPr>
        <w:t xml:space="preserve">Persons operating motor vehicles wholly within the limits of incorporated cities;</w:t>
      </w:r>
    </w:p>
    <w:p>
      <w:pPr>
        <w:ind w:left="0" w:right="0" w:firstLine="360"/>
        <w:jc w:val="both"/>
      </w:pPr>
      <w:r>
        <w:rPr>
          <w:strike/>
        </w:rPr>
        <w:t xml:space="preserve">(2)</w:t>
      </w:r>
      <w:r>
        <w:t>))</w:t>
      </w:r>
      <w:r>
        <w:rPr/>
        <w:t xml:space="preserve"> Persons or their lessees, receivers, or trustees insofar as they own, control, operate, or manage taxicabs, hotel buses, or school buses, when operated as such;</w:t>
      </w:r>
    </w:p>
    <w:p>
      <w:pPr>
        <w:ind w:left="0" w:right="0" w:firstLine="360"/>
        <w:jc w:val="both"/>
      </w:pPr>
      <w:r>
        <w:t>((</w:t>
      </w:r>
      <w:r>
        <w:rPr>
          <w:strike/>
        </w:rPr>
        <w:t xml:space="preserve">(3)</w:t>
      </w:r>
      <w:r>
        <w:t>))</w:t>
      </w:r>
      <w:r>
        <w:rPr/>
        <w:t xml:space="preserve"> </w:t>
      </w:r>
      <w:r>
        <w:rPr>
          <w:u w:val="single"/>
        </w:rPr>
        <w:t xml:space="preserve">(2)</w:t>
      </w:r>
      <w:r>
        <w:rPr/>
        <w:t xml:space="preserve"> Passenger vehicles carrying passengers on a noncommercial enterprise basis; or</w:t>
      </w:r>
    </w:p>
    <w:p>
      <w:pPr>
        <w:ind w:left="0" w:right="0" w:firstLine="360"/>
        <w:jc w:val="both"/>
      </w:pPr>
      <w:r>
        <w:t>((</w:t>
      </w:r>
      <w:r>
        <w:rPr>
          <w:strike/>
        </w:rPr>
        <w:t xml:space="preserve">(4)</w:t>
      </w:r>
      <w:r>
        <w:t>))</w:t>
      </w:r>
      <w:r>
        <w:rPr/>
        <w:t xml:space="preserve"> </w:t>
      </w:r>
      <w:r>
        <w:rPr>
          <w:u w:val="single"/>
        </w:rPr>
        <w:t xml:space="preserve">(3)</w:t>
      </w:r>
      <w:r>
        <w:rPr/>
        <w:t xml:space="preserve"> Limousine charter party carriers of passengers under chapter 46.72A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ind w:left="0" w:right="0" w:firstLine="360"/>
        <w:jc w:val="both"/>
      </w:pPr>
      <w:r>
        <w:rPr/>
        <w:t xml:space="preserve">(1) No person may engage in the business of a charter party carrier or excursion service carrier of </w:t>
      </w:r>
      <w:r>
        <w:t>((</w:t>
      </w:r>
      <w:r>
        <w:rPr>
          <w:strike/>
        </w:rPr>
        <w:t xml:space="preserve">persons</w:t>
      </w:r>
      <w:r>
        <w:t>))</w:t>
      </w:r>
      <w:r>
        <w:rPr/>
        <w:t xml:space="preserve"> </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ind w:left="0" w:right="0" w:firstLine="360"/>
        <w:jc w:val="both"/>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ind w:left="0" w:right="0" w:firstLine="360"/>
        <w:jc w:val="both"/>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ind w:left="0" w:right="0" w:firstLine="360"/>
        <w:jc w:val="both"/>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ind w:left="0" w:right="0" w:firstLine="360"/>
        <w:jc w:val="both"/>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ind w:left="0" w:right="0" w:firstLine="360"/>
        <w:jc w:val="both"/>
      </w:pPr>
      <w:r>
        <w:rPr/>
        <w:t xml:space="preserve">(1) An application for a certificate, amendment of a certificate, or transfer of a certificate must be accompanied by a filing fee the commission may prescribe by rule. The fee must not exceed two hundred dollars.</w:t>
      </w:r>
    </w:p>
    <w:p>
      <w:pPr>
        <w:ind w:left="0" w:right="0" w:firstLine="360"/>
        <w:jc w:val="both"/>
      </w:pPr>
      <w:r>
        <w:rPr/>
        <w:t xml:space="preserve">(2) All fees paid to the commission under this chapter must be deposited in the state treasury to the credit of the public service revolving fund.</w:t>
      </w:r>
    </w:p>
    <w:p>
      <w:pPr>
        <w:ind w:left="0" w:right="0" w:firstLine="360"/>
        <w:jc w:val="both"/>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t xml:space="preserve"> </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t xml:space="preserve"> </w:t>
      </w:r>
      <w:r>
        <w:rPr>
          <w:u w:val="single"/>
        </w:rPr>
        <w:t xml:space="preserve">March</w:t>
      </w:r>
      <w:r>
        <w:rPr/>
        <w:t xml:space="preserve"> 1st of any calendar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ind w:left="0" w:right="0" w:firstLine="360"/>
        <w:jc w:val="both"/>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ind w:left="0" w:right="0" w:firstLine="360"/>
        <w:jc w:val="both"/>
      </w:pPr>
      <w:r>
        <w:rPr/>
        <w:t xml:space="preserve">(2) </w:t>
      </w:r>
      <w:r>
        <w:t>((</w:t>
      </w:r>
      <w:r>
        <w:rPr>
          <w:strike/>
        </w:rPr>
        <w:t xml:space="preserve">All</w:t>
      </w:r>
      <w:r>
        <w:t>))</w:t>
      </w:r>
      <w:r>
        <w:rPr/>
        <w:t xml:space="preserve"> </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t xml:space="preserve"> </w:t>
      </w:r>
      <w:r>
        <w:rPr>
          <w:u w:val="single"/>
        </w:rPr>
        <w:t xml:space="preserve">under</w:t>
      </w:r>
      <w:r>
        <w:rPr/>
        <w:t xml:space="preserve"> this section </w:t>
      </w:r>
      <w:r>
        <w:t>((</w:t>
      </w:r>
      <w:r>
        <w:rPr>
          <w:strike/>
        </w:rPr>
        <w:t xml:space="preserve">shall be</w:t>
      </w:r>
      <w:r>
        <w:t>))</w:t>
      </w:r>
      <w:r>
        <w:rPr/>
        <w:t xml:space="preserve"> </w:t>
      </w:r>
      <w:r>
        <w:rPr>
          <w:u w:val="single"/>
        </w:rPr>
        <w:t xml:space="preserve">is</w:t>
      </w:r>
      <w:r>
        <w:rPr/>
        <w:t xml:space="preserve"> due and payable on or before </w:t>
      </w:r>
      <w:r>
        <w:t>((</w:t>
      </w:r>
      <w:r>
        <w:rPr>
          <w:strike/>
        </w:rPr>
        <w:t xml:space="preserve">December 31</w:t>
      </w:r>
      <w:r>
        <w:t>))</w:t>
      </w:r>
      <w:r>
        <w:rPr/>
        <w:t xml:space="preserve"> </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t xml:space="preserve"> </w:t>
      </w:r>
      <w:r>
        <w:rPr>
          <w:u w:val="single"/>
        </w:rPr>
        <w:t xml:space="preserve">calendar</w:t>
      </w:r>
      <w:r>
        <w:rPr/>
        <w:t xml:space="preserve"> year </w:t>
      </w:r>
      <w:r>
        <w:t>((</w:t>
      </w:r>
      <w:r>
        <w:rPr>
          <w:strike/>
        </w:rPr>
        <w:t xml:space="preserve">beginning February 1</w:t>
      </w:r>
      <w:r>
        <w:t>))</w:t>
      </w:r>
      <w:r>
        <w:rPr/>
        <w:t xml:space="preserve"> </w:t>
      </w:r>
      <w:r>
        <w:rPr>
          <w:u w:val="single"/>
        </w:rPr>
        <w:t xml:space="preserve">in which the fee is paid</w:t>
      </w:r>
      <w:r>
        <w:rPr/>
        <w:t xml:space="preserve">.</w:t>
      </w:r>
    </w:p>
    <w:p>
      <w:pPr>
        <w:ind w:left="0" w:right="0" w:firstLine="360"/>
        <w:jc w:val="both"/>
      </w:pPr>
      <w:r>
        <w:rPr/>
        <w:t xml:space="preserve">(3) Any payment of the fee imposed by this section made after its due date shall include a late fee of two percent of the amount due. Delinquent fees shall accrue interest at the rate of one percent per month.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ind w:left="0" w:right="0" w:firstLine="360"/>
        <w:jc w:val="both"/>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ind w:left="0" w:right="0" w:firstLine="360"/>
        <w:jc w:val="both"/>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ind w:left="0" w:right="0" w:firstLine="360"/>
        <w:jc w:val="both"/>
      </w:pPr>
      <w:r>
        <w:rPr/>
        <w:t xml:space="preserve">(1)(a) A charter party carrier or excursion service carrier operating a party bus must determine whether alcoholic beverages will be served or consumed in the passenger compartment of the vehicle. If it is expected that alcoholic beverages will be served or consumed in the passenger compartment, the permit holder must have obtained the appropriate liquor permit, provided a copy of the permit to the charter party carrier or excursion service carrier in advance of the trip, and be on the vehicle or reasonably proximate and available to the vehicle during the transportation service. The company must maintain the copy of the permit required with the contract of carriage.</w:t>
      </w:r>
    </w:p>
    <w:p>
      <w:pPr>
        <w:ind w:left="0" w:right="0" w:firstLine="360"/>
        <w:jc w:val="both"/>
      </w:pPr>
      <w:r>
        <w:rPr/>
        <w:t xml:space="preserve">(b) If the charter party carrier or excursion service carrier operating a party bus is the permit holder, the carrier must have a person separate from the driver be responsible for the permit holder requirements in this section and either chapter 66.20 or 66.24 RCW.</w:t>
      </w:r>
    </w:p>
    <w:p>
      <w:pPr>
        <w:ind w:left="0" w:right="0" w:firstLine="360"/>
        <w:jc w:val="both"/>
      </w:pPr>
      <w:r>
        <w:rPr/>
        <w:t xml:space="preserve">(c) The permit holder must:</w:t>
      </w:r>
    </w:p>
    <w:p>
      <w:pPr>
        <w:ind w:left="0" w:right="0" w:firstLine="360"/>
        <w:jc w:val="both"/>
      </w:pPr>
      <w:r>
        <w:rPr/>
        <w:t xml:space="preserve">(i) Be on the party bus or reasonably proximate and available to the vehicle during the transportation service;</w:t>
      </w:r>
    </w:p>
    <w:p>
      <w:pPr>
        <w:ind w:left="0" w:right="0" w:firstLine="360"/>
        <w:jc w:val="both"/>
      </w:pPr>
      <w:r>
        <w:rPr/>
        <w:t xml:space="preserve">(ii) Monitor and control party activities in a manner to prevent the driver from being distracted by the party activities; and</w:t>
      </w:r>
    </w:p>
    <w:p>
      <w:pPr>
        <w:ind w:left="0" w:right="0" w:firstLine="360"/>
        <w:jc w:val="both"/>
      </w:pPr>
      <w:r>
        <w:rPr/>
        <w:t xml:space="preserve">(iii) Assume responsibility for compliance with the terms of the special permit, if a permit is required, including compliance with RCW 66.44.270 concerning the prohibition against furnishing liquor to minors. </w:t>
      </w:r>
    </w:p>
    <w:p>
      <w:pPr>
        <w:ind w:left="0" w:right="0" w:firstLine="360"/>
        <w:jc w:val="both"/>
      </w:pPr>
      <w:r>
        <w:rPr/>
        <w:t xml:space="preserve">(2) If at any time the charter party carrier or excursion service carrier operating a party bus believes that conditions aboard the vehicle are unsafe due to party activities involving alcohol, the carrier must remove all alcoholic beverages and lock them in the party bus trunk or other locked compartment. The carrier may cancel the trip and return the passengers to the place of origin.</w:t>
      </w:r>
    </w:p>
    <w:p>
      <w:pPr>
        <w:ind w:left="0" w:right="0" w:firstLine="360"/>
        <w:jc w:val="both"/>
      </w:pPr>
      <w:r>
        <w:rPr/>
        <w:t xml:space="preserve">(3) This section does not limit the right of a charter party carrier or excursion service carrier to prohibit the consumption of alcohol aboard the vehicle.</w:t>
      </w:r>
    </w:p>
    <w:p>
      <w:pPr>
        <w:ind w:left="0" w:right="0" w:firstLine="360"/>
        <w:jc w:val="both"/>
      </w:pPr>
      <w:r>
        <w:rPr/>
        <w:t xml:space="preserve">(4) This section does not limit the right of a permit holder to seek indemnity from any person, corporation, or other entity other than the charter party carrier or excursion service carrier.</w:t>
      </w:r>
    </w:p>
    <w:p>
      <w:pPr>
        <w:ind w:left="0" w:right="0" w:firstLine="360"/>
        <w:jc w:val="both"/>
      </w:pPr>
      <w:r>
        <w:rPr/>
        <w:t xml:space="preserve">(5) This section does not relieve a passenger of legal responsibility for his or her own conduct or the permit holder of legal responsibility for compliance with Title 66 RCW.</w:t>
      </w:r>
    </w:p>
    <w:p>
      <w:pPr>
        <w:ind w:left="0" w:right="0" w:firstLine="360"/>
        <w:jc w:val="left"/>
      </w:pPr>
      <w:r>
        <w:rPr/>
        <w:t xml:space="preserve">(6) Any charter party carrier or excursion service carrier in violation of this section is subject to a penalty of up to five thousand dollars per violation.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ind w:left="0" w:right="0" w:firstLine="360"/>
        <w:jc w:val="both"/>
      </w:pPr>
      <w:r>
        <w:rPr/>
        <w:t xml:space="preserve">(1) A charter party carrier or excursion service carrier may not knowingly allow any passenger to smoke aboard a motor vehicle regulated under this chapter.</w:t>
      </w:r>
    </w:p>
    <w:p>
      <w:pPr>
        <w:ind w:left="0" w:right="0" w:firstLine="360"/>
        <w:jc w:val="both"/>
      </w:pPr>
      <w:r>
        <w:rPr/>
        <w:t xml:space="preserve">(2) For the purposes of this section, "smoke" has the same meaning as defined in RCW 70.160.020.</w:t>
      </w:r>
    </w:p>
    <w:p/>
    <w:p>
      <w:pPr>
        <w:jc w:val="center"/>
      </w:pPr>
      <w:r>
        <w:rPr>
          <w:b/>
        </w:rPr>
        <w:t>--- END ---</w:t>
      </w:r>
    </w:p>
    <w:sectPr>
      <w:pgNumType w:start="1"/>
      <w:footerReference xmlns:r="http://schemas.openxmlformats.org/officeDocument/2006/relationships" r:id="R0cbb5581cdf6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d4e0ac32a432b" /><Relationship Type="http://schemas.openxmlformats.org/officeDocument/2006/relationships/footer" Target="/word/footer.xml" Id="R0cbb5581cdf64984" /></Relationships>
</file>