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aff8c82b245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and Chase; by request of Office of Financial Management)</w:t>
      </w:r>
    </w:p>
    <w:p/>
    <w:p>
      <w:r>
        <w:rPr>
          <w:t xml:space="preserve">READ FIRST TIME 02/17/15.  </w:t>
        </w:rPr>
      </w:r>
    </w:p>
    <w:p>
      <w:r>
        <w:br/>
      </w:r>
    </w:p>
    <w:p>
      <w:r>
        <w:fldChar w:fldCharType="begin"/>
      </w:r>
      <w:r>
        <w:instrText xml:space="default"> ADVANCE \y328 </w:instrText>
      </w:r>
      <w:r>
        <w:fldChar w:fldCharType="end"/>
      </w:r>
    </w:p>
    <w:p>
      <w:pPr>
        <w:ind w:left="0" w:right="0" w:firstLine="360"/>
        <w:jc w:val="both"/>
      </w:pPr>
      <w:r>
        <w:rPr/>
        <w:t xml:space="preserve">AN ACT Relating to the use, acceptance, and removal of barriers to the use and acceptance of electronic signatures; amending RCW 18.25.020, 18.32.100, and 29A.72.010; reenacting and amending RCW 19.34.231; adding a new chapter to Title 19 RCW; and repealing RCW 39.04.390.</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this act, the legislature, to the extent not already authorized by federal or state law, authorizes electronic dealings for governmental affairs and establishes the implementation framework for electronic governmental affairs and governmental transactions. This act is intended to promote electronic transactions and remove barriers that might prevent electronic transactions with governmental entities.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ind w:left="0" w:right="0" w:firstLine="360"/>
        <w:jc w:val="both"/>
      </w:pPr>
      <w:r>
        <w:rPr/>
        <w:t xml:space="preserve">(2) Except as otherwise provided by law,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ind w:left="0" w:right="0" w:firstLine="360"/>
        <w:jc w:val="both"/>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ind w:left="0" w:right="0" w:firstLine="360"/>
        <w:jc w:val="both"/>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ind w:left="0" w:right="0" w:firstLine="360"/>
        <w:jc w:val="both"/>
      </w:pPr>
      <w:r>
        <w:rPr/>
        <w:t xml:space="preserve">(b) In order to provide a single point of access, the chief information officer must establish a web site that maintains or links to the agency rules and policies established pursuant to subsection (3)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ind w:left="0" w:right="0" w:firstLine="360"/>
        <w:jc w:val="both"/>
      </w:pPr>
      <w:r>
        <w:rPr/>
        <w:t xml:space="preserve">(2) "Electronic signature" means an electronic sound, symbol, or process attached to or logically associated with a contract or other record and executed or adopted by a person with the intent to sign the record.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"writing" is used in this code for governmental affairs and is authorized by agency rule or policy pursuant to section 2 of this act, the term means a record.</w:t>
      </w:r>
    </w:p>
    <w:p>
      <w:pPr>
        <w:ind w:left="0" w:right="0" w:firstLine="360"/>
        <w:jc w:val="both"/>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agency record retention, preservation, or disclosure.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ind w:left="0" w:right="0" w:firstLine="360"/>
        <w:jc w:val="both"/>
      </w:pPr>
      <w:r>
        <w:rPr/>
        <w:t xml:space="preserve">(2) For the purposes of this section, "electronic" means relating to technology having electrical, digital, magnetic, wireless, optical, electromagnetic, or similar capabilities.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ind w:left="0" w:right="0" w:firstLine="360"/>
        <w:jc w:val="both"/>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ind w:left="0" w:right="0" w:firstLine="360"/>
        <w:jc w:val="both"/>
      </w:pPr>
      <w:r>
        <w:rPr/>
        <w:t xml:space="preserve">(2) Applicants shall follow administrative procedures and administrative requirements and pay fees as provided in RCW 43.70.250 and 43.70.280.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ind w:left="0" w:right="0" w:firstLine="360"/>
        <w:jc w:val="both"/>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ind w:left="0" w:right="0" w:firstLine="360"/>
        <w:jc w:val="both"/>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ind w:left="0" w:right="0" w:firstLine="360"/>
        <w:jc w:val="both"/>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ind w:left="0" w:right="0" w:firstLine="360"/>
        <w:jc w:val="both"/>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ind w:left="0" w:right="0" w:firstLine="360"/>
        <w:jc w:val="both"/>
      </w:pPr>
      <w:r>
        <w:t>((</w:t>
      </w:r>
      <w:r>
        <w:rPr>
          <w:strike/>
        </w:rPr>
        <w:t xml:space="preserve">(3) A unit of state government, except the secretary, may not act as a certification authority.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ind w:left="0" w:right="0" w:firstLine="360"/>
        <w:jc w:val="both"/>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ind w:left="0" w:right="0" w:firstLine="360"/>
        <w:jc w:val="both"/>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ind w:left="0" w:right="0" w:firstLine="360"/>
        <w:jc w:val="both"/>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ind w:left="0" w:right="0" w:firstLine="360"/>
        <w:jc w:val="both"/>
      </w:pPr>
      <w:r>
        <w:rPr>
          <w:u w:val="single"/>
        </w:rPr>
        <w:t xml:space="preserve">(3) A</w:t>
      </w:r>
      <w:r>
        <w:rPr/>
        <w:t xml:space="preserve"> filing fee prescribed under RCW 43.07.120.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4b75e391ba240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6c252c2294c5a" /><Relationship Type="http://schemas.openxmlformats.org/officeDocument/2006/relationships/footer" Target="/word/footer.xml" Id="Ra4b75e391ba2407f" /></Relationships>
</file>