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2b8ed05d048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6166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2016</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6166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6166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Takko, Rivers, Ericksen, Chase, Roach, Becker, Sheldon, and Benton</w:t>
      </w:r>
    </w:p>
    <w:p/>
    <w:p>
      <w:r>
        <w:rPr>
          <w:t xml:space="preserve">Prefiled 01/06/16.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(f)(i) Incremental electricity produced as a result of a capital investment completed after March 31, 1999,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u w:val="single"/>
        </w:rPr>
        <w:t xml:space="preserve">(ii) The facility must demonstrate that the incremental electricity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fc914405377a4e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d286e6a6c4788" /><Relationship Type="http://schemas.openxmlformats.org/officeDocument/2006/relationships/footer" Target="/word/footer.xml" Id="Rfc914405377a4eb1" /></Relationships>
</file>