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666000f0b4e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6238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Rivers, Keiser, Cleveland, Miloscia, and Chase)</w:t>
      </w:r>
    </w:p>
    <w:p/>
    <w:p>
      <w:r>
        <w:rPr>
          <w:t xml:space="preserve">READ FIRST TIME 01/26/16.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prescribing of schedule II controlled substances; amending RCW 69.50.402;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2013 c 19 s 107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for the treatment of narcolepsy</w:t>
      </w:r>
      <w:r>
        <w:rPr>
          <w:u w:val="single"/>
        </w:rPr>
        <w:t xml:space="preserve">,</w:t>
      </w:r>
      <w:r>
        <w:rPr/>
        <w:t xml:space="preserve">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w:t>
      </w:r>
      <w:r>
        <w:rPr>
          <w:u w:val="single"/>
        </w:rPr>
        <w:t xml:space="preserve">for the treatment of any other disease states or conditions for which the United States food and drug administration has approved an indication, or</w:t>
      </w:r>
      <w:r>
        <w:rPr/>
        <w:t xml:space="preserve">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medical quality assurance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medical quality assurance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
      <w:pPr>
        <w:jc w:val="center"/>
      </w:pPr>
      <w:r>
        <w:rPr>
          <w:b/>
        </w:rPr>
        <w:t>--- END ---</w:t>
      </w:r>
    </w:p>
    <w:sectPr>
      <w:pgNumType w:start="1"/>
      <w:footerReference xmlns:r="http://schemas.openxmlformats.org/officeDocument/2006/relationships" r:id="R9224be12bcd841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bdb36f1a74b07" /><Relationship Type="http://schemas.openxmlformats.org/officeDocument/2006/relationships/footer" Target="/word/footer.xml" Id="R9224be12bcd8413c" /></Relationships>
</file>