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4edf041dcf45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6242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6242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6242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O'Ban, Pedersen, Padden, Roach, Hargrove, Pearson, Darneille, Frockt, and Sheldon)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indeterminate sentence review board; adding a new section to chapter 9.95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duties of the indeterminate sentence review board have been expanded beyond those envisioned when the sentencing reform act was adopted. Rather than an expiring jurisdiction tied to presentencing reform act prisoners, the indeterminate sentence review board has been given authority over the release and supervision of determinate plus sex offenders sentenced under RCW 9.94A.507, and the release and supervision of certain offenders who committed crimes while under the age of eighteen, pursuant to RCW 9.94A.730. In light of this expanded and important role within the criminal justice system, the legislature adopts immediate requirements for notice and transparency in release hearings, as well as recommending that chapter 9.95 RCW be updated by the relevant legislative committees in conjunction with the sentencing guidelines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Upon receipt of a petition for early release submitted under RCW 9.94A.730, or upon determination of a parole eligibility review date pursuant to RCW 9.95.100 and 9.95.052, the indeterminate sentence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If requested in writing by the sentencing court, the prosecuting attorney, or the crime victim or surviving family member, the indeterminate sentence review board must also provide any assessment, psychological evaluation, institutional behavior record, or other examination of the offender.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66a418393b4a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d29278efb4a5a" /><Relationship Type="http://schemas.openxmlformats.org/officeDocument/2006/relationships/footer" Target="/word/footer.xml" Id="R0466a418393b4a0d" /></Relationships>
</file>