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d90aa3e9d45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1068</w:t>
      </w:r>
    </w:p>
    <w:p>
      <w:pPr>
        <w:jc w:val="center"/>
        <w:spacing w:before="480" w:after="0" w:line="240"/>
      </w:pPr>
      <w:r>
        <w:t xml:space="preserve">Chapter </w:t>
      </w:r>
      <w:r>
        <w:rPr/>
        <w:t xml:space="preserve">247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SEXUAL ASSAULT--EXAMINATION KITS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83</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10:54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Orwall, Kagi, Appleton, Gregerson, Reykdal, Carlyle, Stanford, Sawyer, Fitzgibbon, Jinkins, Cody, Hudgins, Senn, Clibborn, Moeller, Riccelli, Moscoso, Farrell, and Fey)</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examination kits; adding a new section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Subject to available funding, the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the effective date of this section.</w:t>
      </w:r>
    </w:p>
    <w:p>
      <w:pPr>
        <w:spacing w:before="0" w:after="0" w:line="408" w:lineRule="exact"/>
        <w:ind w:left="0" w:right="0" w:firstLine="576"/>
        <w:jc w:val="left"/>
      </w:pPr>
      <w:r>
        <w:rPr/>
        <w:t xml:space="preserve">(7)(a) Until June 30, 2018, the Washington state patrol shall compile the following information related to the sexual assault examination kits identified in this section:</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t xml:space="preserve">(a) A legislative task force is established to review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and</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September 30th of each subsequent year.</w:t>
      </w:r>
    </w:p>
    <w:p>
      <w:pPr>
        <w:spacing w:before="0" w:after="0" w:line="408" w:lineRule="exact"/>
        <w:ind w:left="0" w:right="0" w:firstLine="576"/>
        <w:jc w:val="left"/>
      </w:pPr>
      <w:r>
        <w:rPr/>
        <w:t xml:space="preserve">(9) This section expires June 30,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b7a47cdde629411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9be6354e14051" /><Relationship Type="http://schemas.openxmlformats.org/officeDocument/2006/relationships/footer" Target="/word/footer.xml" Id="Rb7a47cdde629411f" /></Relationships>
</file>