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da799ba6149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1127</w:t>
      </w:r>
    </w:p>
    <w:p>
      <w:pPr>
        <w:jc w:val="center"/>
        <w:spacing w:before="480" w:after="0" w:line="240"/>
      </w:pPr>
      <w:r>
        <w:t xml:space="preserve">Chapter </w:t>
      </w:r>
      <w:r>
        <w:rPr/>
        <w:t xml:space="preserve">68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AGRICULTURE--LABOR SKILLS AND SAFETY GRANT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1:53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Chandler and Sells)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Washington agricultural workers helps ensure their success and safety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Washington agricultural workers.</w:t>
      </w:r>
    </w:p>
    <w:p>
      <w:pPr>
        <w:spacing w:before="0" w:after="0" w:line="408" w:lineRule="exact"/>
        <w:ind w:left="0" w:right="0" w:firstLine="576"/>
        <w:jc w:val="left"/>
      </w:pPr>
      <w:r>
        <w:rPr/>
        <w:t xml:space="preserve">(2) The department shall select one recipient that has a community-based organization whose primary mission is to provide services to Washington agricultural workers and that has the ability to carry out the objectives in subsection (3) of this section. The department must ensure that the grant recipient gives priority to Washington agricultural workers. The training is open to all workers in Washington agriculture, and is intended to improve job employability of workers who live in Washington state and to improve the skills and knowledge of workers who work on a permanent, local seasonal, or seasonal migrant basis, and who intend to return to Washington state to work in Washington state agriculture.</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outreach to Washington agricultural workers;</w:t>
      </w:r>
    </w:p>
    <w:p>
      <w:pPr>
        <w:spacing w:before="0" w:after="0" w:line="408" w:lineRule="exact"/>
        <w:ind w:left="0" w:right="0" w:firstLine="576"/>
        <w:jc w:val="left"/>
      </w:pPr>
      <w:r>
        <w:rPr/>
        <w:t xml:space="preserve">(c) Providing agricultural health and safety training to its participants and ensuring that participation in the training program is voluntary;</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Washington agricultural workers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Washington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one million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23dba35b62dc49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857bdc31a4f5a" /><Relationship Type="http://schemas.openxmlformats.org/officeDocument/2006/relationships/footer" Target="/word/footer.xml" Id="R23dba35b62dc49c1" /></Relationships>
</file>