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29f439f2d4b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1620</w:t>
      </w:r>
    </w:p>
    <w:p>
      <w:pPr>
        <w:jc w:val="center"/>
        <w:spacing w:before="480" w:after="0" w:line="240"/>
      </w:pPr>
      <w:r>
        <w:t xml:space="preserve">Chapter </w:t>
      </w:r>
      <w:r>
        <w:rPr/>
        <w:t xml:space="preserve">254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SHELLFISH LICENSES--SURCHARGE--BIOTOXIN TESTING AND MONITORING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90</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38</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11:14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Tharinger, Fey, Lytton, Van De Wege, Stanford, Fitzgibbon, Walkinshaw, Cody, Pollet, and Jinkins; by request of Department of Health</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surcharge to fund biotoxin testing and monitoring; and amending RCW 77.32.555.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w:t>
      </w:r>
      <w:r>
        <w:rPr>
          <w:u w:val="single"/>
        </w:rPr>
        <w:t xml:space="preserve">The surcharge on recreational shellfish licenses cannot be increased more than one dollar and can only be increased when the surcharge for commercial shellfish licenses is increased.</w:t>
      </w:r>
      <w:r>
        <w:rPr/>
        <w:t xml:space="preserve"> A surcharge of </w:t>
      </w:r>
      <w:r>
        <w:t>((</w:t>
      </w:r>
      <w:r>
        <w:rPr>
          <w:strike/>
        </w:rPr>
        <w:t xml:space="preserve">three</w:t>
      </w:r>
      <w:r>
        <w:t>))</w:t>
      </w:r>
      <w:r>
        <w:rPr/>
        <w:t xml:space="preserve"> </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t xml:space="preserve"> </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t xml:space="preserve"> </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 </w:t>
      </w:r>
      <w:r>
        <w:rPr>
          <w:u w:val="single"/>
        </w:rPr>
        <w:t xml:space="preserve">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c8cda712fa4742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e0f1d7da34f0c" /><Relationship Type="http://schemas.openxmlformats.org/officeDocument/2006/relationships/footer" Target="/word/footer.xml" Id="Rc8cda712fa4742f5" /></Relationships>
</file>