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a858db93ba46f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2584</w:t>
      </w:r>
    </w:p>
    <w:p>
      <w:pPr>
        <w:jc w:val="center"/>
        <w:spacing w:before="480" w:after="0" w:line="240"/>
      </w:pPr>
      <w:r>
        <w:t xml:space="preserve">Chapter </w:t>
      </w:r>
      <w:r>
        <w:rPr/>
        <w:t xml:space="preserve">178</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COMMERCIAL MARIJUANA LICENSEES AND APPLICANTS--INFORMATION DISCLOSURE</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15, 2016</w:t>
            </w:r>
          </w:p>
          <w:p>
            <w:pPr>
              <w:ind w:left="0" w:right="0" w:firstLine="360"/>
            </w:pPr>
            <w:r>
              <w:t xml:space="preserve">Yeas </w:t>
              <w:t xml:space="preserve">89</w:t>
            </w:r>
            <w:r>
              <w:t xml:space="preserve">  Nays </w:t>
              <w:t xml:space="preserve">8</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2016</w:t>
            </w:r>
          </w:p>
          <w:p>
            <w:pPr>
              <w:ind w:left="0" w:right="0" w:firstLine="360"/>
            </w:pPr>
            <w:r>
              <w:t xml:space="preserve">Yeas </w:t>
              <w:t xml:space="preserve">43</w:t>
            </w:r>
            <w:r>
              <w:t xml:space="preserve">  Nays </w:t>
              <w:t xml:space="preserve">4</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2584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 2016 3:35 PM</w:t>
            </w:r>
          </w:p>
        </w:tc>
        <w:tc>
          <w:tcPr>
            <w:tcW w:w="4560" w:type="dxa"/>
            <w:vAlign w:val="top"/>
          </w:tcPr>
          <w:p>
            <w:pPr>
              <w:jc w:val="center"/>
            </w:pPr>
            <w:r>
              <w:rPr>
                <w:t xml:space="preserve">FILED</w:t>
              </w:rPr>
            </w:r>
          </w:p>
          <w:p>
            <w:pPr>
              <w:jc w:val="center"/>
            </w:pPr>
            <w:r>
              <w:rPr>
                <w:rFonts w:ascii="Times New Roman" w:hAnsi="Times New Roman"/>
                <w:sz w:val="20"/>
              </w:rPr>
              <w:t xml:space="preserve">April 4,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2584</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Commerce &amp; Gaming (originally sponsored by Representatives Vick, Van De Wege, Blake, Harris, and Tarleton)</w:t>
      </w:r>
    </w:p>
    <w:p/>
    <w:p>
      <w:r>
        <w:rPr>
          <w:t xml:space="preserve">READ FIRST TIME 02/04/16.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disclosure of information submitted to the liquor and cannabis board regarding marijuana product traceability and operations; and amending RCW 42.56.270.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2015 c 274 s 24 are each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 </w:t>
      </w:r>
      <w:r>
        <w:t>((</w:t>
      </w:r>
      <w:r>
        <w:rPr>
          <w:strike/>
        </w:rPr>
        <w:t xml:space="preserve">and</w:t>
      </w:r>
      <w:r>
        <w:t>))</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r>
        <w:rPr>
          <w:u w:val="single"/>
        </w:rPr>
        <w:t xml:space="preserve">;</w:t>
      </w:r>
    </w:p>
    <w:p>
      <w:pPr>
        <w:spacing w:before="0" w:after="0" w:line="408" w:lineRule="exact"/>
        <w:ind w:left="0" w:right="0" w:firstLine="576"/>
        <w:jc w:val="left"/>
      </w:pPr>
      <w:r>
        <w:rPr>
          <w:u w:val="single"/>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 and</w:t>
      </w:r>
    </w:p>
    <w:p>
      <w:pPr>
        <w:spacing w:before="0" w:after="0" w:line="408" w:lineRule="exact"/>
        <w:ind w:left="0" w:right="0" w:firstLine="576"/>
        <w:jc w:val="left"/>
      </w:pPr>
      <w:r>
        <w:rPr>
          <w:u w:val="single"/>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15, 2016.</w:t>
      </w:r>
    </w:p>
    <w:p>
      <w:pPr>
        <w:spacing w:before="0" w:after="0" w:line="408" w:lineRule="exact"/>
        <w:ind w:left="0" w:right="0" w:firstLine="576"/>
        <w:jc w:val="left"/>
      </w:pPr>
      <w:r>
        <w:rPr/>
        <w:t xml:space="preserve">Passed by the Senate March 3, 2016.</w:t>
      </w:r>
    </w:p>
    <w:p>
      <w:pPr>
        <w:spacing w:before="0" w:after="0" w:line="408" w:lineRule="exact"/>
        <w:ind w:left="0" w:right="0" w:firstLine="576"/>
        <w:jc w:val="left"/>
      </w:pPr>
      <w:r>
        <w:rPr/>
        <w:t xml:space="preserve">Approved by the Governor April 1, 2016.</w:t>
      </w:r>
    </w:p>
    <w:p>
      <w:pPr>
        <w:spacing w:before="0" w:after="0" w:line="408" w:lineRule="exact"/>
        <w:ind w:left="0" w:right="0" w:firstLine="576"/>
        <w:jc w:val="left"/>
      </w:pPr>
      <w:r>
        <w:rPr/>
        <w:t xml:space="preserve">Filed in Office of Secretary of State April 4, 2016.</w:t>
      </w:r>
    </w:p>
    <w:sectPr>
      <w:pgNumType w:start="1"/>
      <w:footerReference xmlns:r="http://schemas.openxmlformats.org/officeDocument/2006/relationships" r:id="R746b272b7ce04b2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2584.SL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88eec06be843a3" /><Relationship Type="http://schemas.openxmlformats.org/officeDocument/2006/relationships/footer" Target="/word/footer.xml" Id="R746b272b7ce04b25" /></Relationships>
</file>