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9f5ec974b43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2959</w:t>
      </w:r>
    </w:p>
    <w:p>
      <w:pPr>
        <w:jc w:val="center"/>
        <w:spacing w:before="480" w:after="0" w:line="240"/>
      </w:pPr>
      <w:r>
        <w:t xml:space="preserve">Chapter </w:t>
      </w:r>
      <w:r>
        <w:rPr/>
        <w:t xml:space="preserve">55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LOCAL BUSINESSES--TAXATION AND LICENSURE SIMPLIFICATION--TASK FORCE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43</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2959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4:03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Lytton, Nealey, and Ormsby</w:t>
      </w:r>
    </w:p>
    <w:p/>
    <w:p>
      <w:r>
        <w:rPr>
          <w:t xml:space="preserve">Read first time 02/01/16.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business tax and licensing simplification;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 By January 1, 2017, the task force established in subsection (5) of this section must prepare a report to the legislature with the following:</w:t>
      </w:r>
    </w:p>
    <w:p>
      <w:pPr>
        <w:spacing w:before="0" w:after="0" w:line="408" w:lineRule="exact"/>
        <w:ind w:left="0" w:right="0" w:firstLine="576"/>
        <w:jc w:val="left"/>
      </w:pPr>
      <w:r>
        <w:rPr/>
        <w:t xml:space="preserve">(a) Additional or alternative options to improve the administration of local business tax and licensing that are not described in subsection (3) of this section;</w:t>
      </w:r>
    </w:p>
    <w:p>
      <w:pPr>
        <w:spacing w:before="0" w:after="0" w:line="408" w:lineRule="exact"/>
        <w:ind w:left="0" w:right="0" w:firstLine="576"/>
        <w:jc w:val="left"/>
      </w:pPr>
      <w:r>
        <w:rPr/>
        <w:t xml:space="preserve">(b) An examination of the differences in apportionment and nexus between state and local business and occupation taxes, and how these differences affect taxpayers and cities; and</w:t>
      </w:r>
    </w:p>
    <w:p>
      <w:pPr>
        <w:spacing w:before="0" w:after="0" w:line="408" w:lineRule="exact"/>
        <w:ind w:left="0" w:right="0" w:firstLine="576"/>
        <w:jc w:val="left"/>
      </w:pPr>
      <w:r>
        <w:rPr/>
        <w:t xml:space="preserve">(c) Recommendations that address the issues described in subsection (3) of this section.</w:t>
      </w:r>
    </w:p>
    <w:p>
      <w:pPr>
        <w:spacing w:before="0" w:after="0" w:line="408" w:lineRule="exact"/>
        <w:ind w:left="0" w:right="0" w:firstLine="576"/>
        <w:jc w:val="left"/>
      </w:pPr>
      <w:r>
        <w:rPr/>
        <w:t xml:space="preserve">(5)(a) A task force for local business tax and licensing simplification is established. The task force must consist of the following nine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One representative from a Washington city or town that imposes a local business and occupation tax and has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One representative from a Washington city or town that imposes a business and occupation tax and has a population of less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(vi) One representative</w:t>
      </w:r>
      <w:r>
        <w:rPr/>
        <w:t xml:space="preserve"> from FileLocal who is not otherwise included on the task force under (a)(iv) or (v) of this subsection (5);</w:t>
      </w:r>
    </w:p>
    <w:p>
      <w:pPr>
        <w:spacing w:before="0" w:after="0" w:line="408" w:lineRule="exact"/>
        <w:ind w:left="0" w:right="0" w:firstLine="576"/>
        <w:jc w:val="left"/>
      </w:pPr>
      <w:r>
        <w:rPr/>
        <w:t xml:space="preserve">(vii) One representative from the Washington retail association; and</w:t>
      </w:r>
    </w:p>
    <w:p>
      <w:pPr>
        <w:spacing w:before="0" w:after="0" w:line="408" w:lineRule="exact"/>
        <w:ind w:left="0" w:right="0" w:firstLine="576"/>
        <w:jc w:val="left"/>
      </w:pPr>
      <w:r>
        <w:rPr/>
        <w:t xml:space="preserve">(viii)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described in subsection (4) of this section. The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63596f909c774c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509cca1314a24" /><Relationship Type="http://schemas.openxmlformats.org/officeDocument/2006/relationships/footer" Target="/word/footer.xml" Id="R63596f909c774c62" /></Relationships>
</file>