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62695340247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5733</w:t>
      </w:r>
    </w:p>
    <w:p>
      <w:pPr>
        <w:jc w:val="center"/>
        <w:spacing w:before="480" w:after="0" w:line="240"/>
      </w:pPr>
      <w:r>
        <w:t xml:space="preserve">Chapter </w:t>
      </w:r>
      <w:r>
        <w:rPr/>
        <w:t xml:space="preserve">197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LIVESTOCK TRANSACTION REPORTING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90</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3:05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Hatfield, and Hobbs; by request of Department of Agriculture)</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transaction reporting; amending RCW 16.57.160; and adding a new section to chapter 16.57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(1)(a) The director may establish an electronic cattle transaction reporting system as a mechanism for reporting transactions involving unbranded dairy cattle to the department. The system may be used as an alternative to mandatory inspections under RCW 16.57.160. However, it may only be used as an alternative for unbranded dairy cattle that are individually identified through an identification method authorized by the department. All other livestock transactions are subject to the provisions of RCW 16.57.160.</w:t>
      </w:r>
    </w:p>
    <w:p>
      <w:pPr>
        <w:spacing w:before="0" w:after="0" w:line="408" w:lineRule="exact"/>
        <w:ind w:left="0" w:right="0" w:firstLine="576"/>
        <w:jc w:val="left"/>
      </w:pPr>
      <w:r>
        <w:rPr/>
        <w:t xml:space="preserve">(b) Pursuant to criteria established by the director by rule, a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unbranded dairy cattle.</w:t>
      </w:r>
    </w:p>
    <w:p>
      <w:pPr>
        <w:spacing w:before="0" w:after="0" w:line="408" w:lineRule="exact"/>
        <w:ind w:left="0" w:right="0" w:firstLine="576"/>
        <w:jc w:val="left"/>
      </w:pPr>
      <w:r>
        <w:rPr/>
        <w:t xml:space="preserve">(2) A person may not electronically report transactions involving unbranded dairy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spacing w:before="0" w:after="0" w:line="408" w:lineRule="exact"/>
        <w:ind w:left="0" w:right="0" w:firstLine="576"/>
        <w:jc w:val="left"/>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unbranded dairy cattle.</w:t>
      </w:r>
    </w:p>
    <w:p>
      <w:pPr>
        <w:spacing w:before="0" w:after="0" w:line="408" w:lineRule="exact"/>
        <w:ind w:left="0" w:right="0" w:firstLine="576"/>
        <w:jc w:val="left"/>
      </w:pPr>
      <w:r>
        <w:rPr/>
        <w:t xml:space="preserve">(4) All holders of an electronic cattle transaction reporting license must keep accurate records of all transactions involving unbranded dairy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rPr/>
        <w:t xml:space="preserve">(5)(a) The director may enter the property of the holder of an electronic cattle transaction reporting license at any reasonable time to conduct examinations and inspections of cattle and any associated records for movement verification purposes.</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(6)(a)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(5)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t xml:space="preserve">(8)(a)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2013 c 313 s 1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w:t>
      </w:r>
      <w:r>
        <w:rPr>
          <w:u w:val="single"/>
        </w:rPr>
        <w:t xml:space="preserve">The director may establish a process to electronically report transactions involving unbranded dairy cattle under section 1 of this act as an alternative to the mandatory cattle inspections required by department rule adopted pursuant to this section.</w:t>
      </w:r>
    </w:p>
    <w:p>
      <w:pPr>
        <w:spacing w:before="0" w:after="0" w:line="408" w:lineRule="exact"/>
        <w:ind w:left="0" w:right="0" w:firstLine="576"/>
        <w:jc w:val="left"/>
      </w:pPr>
      <w:r>
        <w:rPr>
          <w:u w:val="single"/>
        </w:rPr>
        <w:t xml:space="preserve">(3)</w:t>
      </w:r>
      <w:r>
        <w:rPr/>
        <w:t xml:space="preserve">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w:t>
      </w:r>
      <w:r>
        <w:t>((</w:t>
      </w:r>
      <w:r>
        <w:rPr>
          <w:strike/>
        </w:rPr>
        <w:t xml:space="preserve">(3)</w:t>
      </w:r>
      <w:r>
        <w:t>))</w:t>
      </w:r>
      <w:r>
        <w:rPr/>
        <w:t xml:space="preserve"> </w:t>
      </w:r>
      <w:r>
        <w:rPr>
          <w:u w:val="single"/>
        </w:rPr>
        <w:t xml:space="preserve">(4)</w:t>
      </w:r>
      <w:r>
        <w:rPr/>
        <w:t xml:space="preserve">,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75efd67d7ce842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651183792548a3" /><Relationship Type="http://schemas.openxmlformats.org/officeDocument/2006/relationships/footer" Target="/word/footer.xml" Id="R75efd67d7ce842f0" /></Relationships>
</file>