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69879148749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6200</w:t>
      </w:r>
    </w:p>
    <w:p>
      <w:pPr>
        <w:jc w:val="center"/>
        <w:spacing w:before="480" w:after="0" w:line="240"/>
      </w:pPr>
      <w:r>
        <w:t xml:space="preserve">Chapter </w:t>
      </w:r>
      <w:r>
        <w:rPr/>
        <w:t xml:space="preserve">30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SPECIAL LICENSE PLATE--WASHINGTON'S FISH COLLECTION</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2:36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Hewitt, Rolfes, and Benton; by request of Department of Fish and Wildlife</w:t>
      </w:r>
    </w:p>
    <w:p/>
    <w:p>
      <w:r>
        <w:rPr>
          <w:t xml:space="preserve">Read first time 01/12/16.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steelhead conservation through the issuance of Washington's fish license plate collection; amending RCW 46.68.425; reenacting and amending RCW 46.18.200, 46.17.220, and 77.12.170;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"Washington's fish license plate collection" means the collection of fish license plate designs. Each license plate design displays a distinct symbol or artwork, to include steelhead, recognizing the fish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Washington's fish collection</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425</w:t>
      </w:r>
      <w:r>
        <w:rPr/>
        <w:t xml:space="preserve"> and 2014 c 77 s 3 are each amended to read as follows:</w:t>
      </w:r>
    </w:p>
    <w:p>
      <w:pPr>
        <w:spacing w:before="0" w:after="0" w:line="408" w:lineRule="exact"/>
        <w:ind w:left="0" w:right="0" w:firstLine="576"/>
        <w:jc w:val="left"/>
      </w:pPr>
      <w:r>
        <w:rPr/>
        <w:t xml:space="preserve">(1) The department shall:</w:t>
      </w:r>
    </w:p>
    <w:p>
      <w:pPr>
        <w:spacing w:before="0" w:after="120" w:line="408" w:lineRule="exact"/>
        <w:ind w:left="0" w:right="0" w:firstLine="576"/>
        <w:jc w:val="left"/>
      </w:pPr>
      <w:r>
        <w:rPr/>
        <w:t xml:space="preserve">(a) Collect special license plate fees established under RCW 46.17.220;</w:t>
      </w:r>
    </w:p>
    <w:p>
      <w:pPr>
        <w:spacing w:before="0" w:after="12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120" w:line="408" w:lineRule="exact"/>
        <w:ind w:left="0" w:right="0" w:firstLine="576"/>
        <w:jc w:val="left"/>
      </w:pPr>
      <w:r>
        <w:rPr/>
        <w:t xml:space="preserve">(c) Remit the remaining proceeds to the custody of the state treasurer with a proper identifying detailed report.</w:t>
      </w:r>
    </w:p>
    <w:p>
      <w:pPr>
        <w:spacing w:before="0" w:after="120" w:line="408" w:lineRule="exact"/>
        <w:ind w:left="0" w:right="0" w:firstLine="576"/>
        <w:jc w:val="left"/>
      </w:pPr>
      <w:r>
        <w:rPr/>
        <w:t xml:space="preserve">(2) The state treasurer shall credit the proceeds to the motor vehicle fund until the department determines that the state has been reimbursed for the cost of implementing the special license plate. Upon determination by the department that the state has been reimbursed, the state treasurer shall credit the remaining special license plate fees to the following accounts by special license plate type:</w:t>
      </w:r>
    </w:p>
    <w:tbl>
      <w:tblPr>
        <w:tblW w:w="0" w:type="auto"/>
        <w:jc w:val="center"/>
        <w:tcMar>
          <w:tblCellMar>
            <w:top w:w="0" w:type="dxa"/>
          </w:tblCellMar>
        </w:tcMar>
        <w:tcMar>
          <w:tblCellMar>
            <w:left w:w="0" w:type="dxa"/>
            <w:right w:w="0" w:type="dxa"/>
          </w:tblCellMar>
        </w:tcMar>
      </w:tblPr>
      <w:tblGrid>
        <w:gridCol w:w="1620"/>
        <w:gridCol w:w="1620"/>
        <w:gridCol w:w="1620"/>
      </w:tblGrid>
      <w:tr>
        <w:tc>
          <w:tcPr>
            <w:tcW w:w="1620" w:type="dxa"/>
            <w:vAlign w:val="top"/>
          </w:tcPr>
          <w:p>
            <w:pPr>
              <w:spacing w:before="0" w:after="0" w:line="408" w:lineRule="exact"/>
              <w:ind w:left="0" w:right="0" w:firstLine="0"/>
              <w:jc w:val="left"/>
            </w:pPr>
            <w:r>
              <w:rPr>
                <w:rFonts w:ascii="Times New Roman" w:hAnsi="Times New Roman"/>
                <w:sz w:val="16"/>
              </w:rPr>
              <w:t xml:space="preserve">SPECIAL LICENSE PLATE TYPE</w:t>
            </w:r>
          </w:p>
        </w:tc>
        <w:tc>
          <w:tcPr>
            <w:tcW w:w="1620" w:type="dxa"/>
            <w:vAlign w:val="top"/>
          </w:tcPr>
          <w:p>
            <w:pPr>
              <w:spacing w:before="0" w:after="0" w:line="408" w:lineRule="exact"/>
              <w:ind w:left="0" w:right="0" w:firstLine="0"/>
              <w:jc w:val="left"/>
            </w:pPr>
            <w:r>
              <w:rPr>
                <w:rFonts w:ascii="Times New Roman" w:hAnsi="Times New Roman"/>
                <w:sz w:val="16"/>
              </w:rPr>
              <w:t xml:space="preserve">ACCOUNT</w:t>
            </w:r>
          </w:p>
        </w:tc>
        <w:tc>
          <w:tcPr>
            <w:tcW w:w="1620" w:type="dxa"/>
            <w:vAlign w:val="top"/>
          </w:tcPr>
          <w:p>
            <w:pPr>
              <w:spacing w:before="0" w:after="0" w:line="408" w:lineRule="exact"/>
              <w:ind w:left="0" w:right="0" w:firstLine="0"/>
              <w:jc w:val="left"/>
            </w:pPr>
            <w:r>
              <w:rPr>
                <w:rFonts w:ascii="Times New Roman" w:hAnsi="Times New Roman"/>
                <w:sz w:val="16"/>
              </w:rPr>
              <w:t xml:space="preserve">CONDITIONS FOR USE OF FUNDS</w:t>
            </w:r>
          </w:p>
        </w:tc>
      </w:tr>
      <w:tr>
        <w:tc>
          <w:tcPr>
            <w:tcW w:w="1620" w:type="dxa"/>
            <w:vAlign w:val="top"/>
          </w:tcPr>
          <w:p>
            <w:pPr>
              <w:spacing w:before="0" w:after="0" w:line="408" w:lineRule="exact"/>
              <w:ind w:left="0" w:right="0" w:firstLine="0"/>
              <w:jc w:val="left"/>
            </w:pPr>
            <w:r>
              <w:rPr>
                <w:rFonts w:ascii="Times New Roman" w:hAnsi="Times New Roman"/>
                <w:sz w:val="16"/>
              </w:rPr>
              <w:t xml:space="preserve">Armed forces</w:t>
            </w:r>
          </w:p>
        </w:tc>
        <w:tc>
          <w:tcPr>
            <w:tcW w:w="1620" w:type="dxa"/>
            <w:vAlign w:val="top"/>
          </w:tcPr>
          <w:p>
            <w:pPr>
              <w:spacing w:before="0" w:after="0" w:line="408" w:lineRule="exact"/>
              <w:ind w:left="0" w:right="0" w:firstLine="0"/>
              <w:jc w:val="left"/>
            </w:pPr>
            <w:r>
              <w:rPr>
                <w:rFonts w:ascii="Times New Roman" w:hAnsi="Times New Roman"/>
                <w:sz w:val="16"/>
              </w:rPr>
              <w:t xml:space="preserve">RCW 43.60A.140</w:t>
            </w:r>
          </w:p>
        </w:tc>
        <w:tc>
          <w:tcPr>
            <w:tcW w:w="1620" w:type="dxa"/>
            <w:vAlign w:val="top"/>
          </w:tcPr>
          <w:p>
            <w:pPr>
              <w:spacing w:before="0" w:after="0" w:line="408" w:lineRule="exact"/>
              <w:ind w:left="0" w:right="0" w:firstLine="0"/>
              <w:jc w:val="left"/>
            </w:pPr>
            <w:r>
              <w:rPr>
                <w:rFonts w:ascii="Times New Roman" w:hAnsi="Times New Roman"/>
                <w:sz w:val="16"/>
              </w:rPr>
              <w:t xml:space="preserve">N/A</w:t>
            </w:r>
          </w:p>
        </w:tc>
      </w:tr>
      <w:tr>
        <w:tc>
          <w:tcPr>
            <w:tcW w:w="16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1620" w:type="dxa"/>
            <w:vAlign w:val="top"/>
          </w:tcPr>
          <w:p>
            <w:pPr>
              <w:spacing w:before="0" w:after="0" w:line="408" w:lineRule="exact"/>
              <w:ind w:left="0" w:right="0" w:firstLine="0"/>
              <w:jc w:val="left"/>
            </w:pPr>
            <w:r>
              <w:rPr>
                <w:rFonts w:ascii="Times New Roman" w:hAnsi="Times New Roman"/>
                <w:sz w:val="16"/>
              </w:rPr>
              <w:t xml:space="preserve">RCW 43.70.327</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by the department of health for efforts consistent with the breast, cervical, and colon health program</w:t>
            </w:r>
          </w:p>
        </w:tc>
      </w:tr>
      <w:tr>
        <w:tc>
          <w:tcPr>
            <w:tcW w:w="16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Must be used only for the department of fish and wildlife's endangered wildlife program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1620" w:type="dxa"/>
            <w:vAlign w:val="top"/>
          </w:tcPr>
          <w:p>
            <w:pPr>
              <w:spacing w:before="0" w:after="0" w:line="408" w:lineRule="exact"/>
              <w:ind w:left="0" w:right="0" w:firstLine="0"/>
              <w:jc w:val="left"/>
            </w:pPr>
            <w:r>
              <w:rPr>
                <w:rFonts w:ascii="Times New Roman" w:hAnsi="Times New Roman"/>
                <w:sz w:val="16"/>
              </w:rPr>
              <w:t xml:space="preserve">RCW 43.121.100</w:t>
            </w:r>
          </w:p>
        </w:tc>
        <w:tc>
          <w:tcPr>
            <w:tcW w:w="1620" w:type="dxa"/>
            <w:vAlign w:val="top"/>
          </w:tcPr>
          <w:p>
            <w:pPr>
              <w:spacing w:before="0" w:after="0" w:line="408" w:lineRule="exact"/>
              <w:ind w:left="0" w:right="0" w:firstLine="0"/>
              <w:jc w:val="left"/>
            </w:pPr>
            <w:r>
              <w:rPr>
                <w:rFonts w:ascii="Times New Roman" w:hAnsi="Times New Roman"/>
                <w:sz w:val="16"/>
              </w:rPr>
              <w:t xml:space="preserve">As specified in RCW 43.121.100</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1620" w:type="dxa"/>
            <w:vAlign w:val="top"/>
          </w:tcPr>
          <w:p>
            <w:pPr>
              <w:spacing w:before="0" w:after="0" w:line="408" w:lineRule="exact"/>
              <w:ind w:left="0" w:right="0" w:firstLine="0"/>
              <w:jc w:val="left"/>
            </w:pPr>
            <w:r>
              <w:rPr>
                <w:rFonts w:ascii="Times New Roman" w:hAnsi="Times New Roman"/>
                <w:sz w:val="16"/>
              </w:rPr>
              <w:t xml:space="preserve">RCW 79A.05.059</w:t>
            </w:r>
          </w:p>
        </w:tc>
        <w:tc>
          <w:tcPr>
            <w:tcW w:w="1620" w:type="dxa"/>
            <w:vAlign w:val="top"/>
          </w:tcPr>
          <w:p>
            <w:pPr>
              <w:spacing w:before="0" w:after="0" w:line="408" w:lineRule="exact"/>
              <w:ind w:left="0" w:right="0" w:firstLine="0"/>
              <w:jc w:val="left"/>
            </w:pPr>
            <w:r>
              <w:rPr>
                <w:rFonts w:ascii="Times New Roman" w:hAnsi="Times New Roman"/>
                <w:sz w:val="16"/>
              </w:rPr>
              <w:t xml:space="preserve">Provide public educational opportunities and enhancement of Washington state parks</w:t>
            </w:r>
          </w:p>
        </w:tc>
      </w:tr>
      <w:tr>
        <w:tc>
          <w:tcPr>
            <w:tcW w:w="16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u w:val="single"/>
              </w:rPr>
              <w:t xml:space="preserve">Only for the department of fish and wildlife's use to support steelhead species management activities including, but not limited to, activities supporting conservation, recovery, and research to promote healthy, fishable steelhead</w:t>
            </w:r>
          </w:p>
        </w:tc>
      </w:tr>
      <w:tr>
        <w:tc>
          <w:tcPr>
            <w:tcW w:w="16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Only for the department of fish and wildlife's game species management activities</w:t>
            </w:r>
          </w:p>
        </w:tc>
      </w:tr>
      <w:tr>
        <w:tc>
          <w:tcPr>
            <w:tcW w:w="16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1620" w:type="dxa"/>
            <w:vAlign w:val="top"/>
          </w:tcPr>
          <w:p>
            <w:pPr>
              <w:spacing w:before="0" w:after="0" w:line="408" w:lineRule="exact"/>
              <w:ind w:left="0" w:right="0" w:firstLine="0"/>
              <w:jc w:val="left"/>
            </w:pPr>
            <w:r>
              <w:rPr>
                <w:rFonts w:ascii="Times New Roman" w:hAnsi="Times New Roman"/>
                <w:sz w:val="16"/>
              </w:rPr>
              <w:t xml:space="preserve">RCW 77.12.170</w:t>
            </w:r>
          </w:p>
        </w:tc>
        <w:tc>
          <w:tcPr>
            <w:tcW w:w="1620" w:type="dxa"/>
            <w:vAlign w:val="top"/>
          </w:tcPr>
          <w:p>
            <w:pPr>
              <w:spacing w:before="0" w:after="0" w:line="408" w:lineRule="exact"/>
              <w:ind w:left="0" w:right="0" w:firstLine="0"/>
              <w:jc w:val="left"/>
            </w:pPr>
            <w:r>
              <w:rPr>
                <w:rFonts w:ascii="Times New Roman" w:hAnsi="Times New Roman"/>
                <w:sz w:val="16"/>
              </w:rPr>
              <w:t xml:space="preserve">Dedicated to the department of fish and wildlife's watchable wildlife activities, as defined in RCW 77.32.560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which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w:t>
      </w:r>
      <w:r>
        <w:t>((</w:t>
      </w:r>
      <w:r>
        <w:rPr>
          <w:strike/>
        </w:rPr>
        <w:t xml:space="preserve">and</w:t>
      </w:r>
      <w:r>
        <w:t>))</w:t>
      </w:r>
      <w:r>
        <w:rPr>
          <w:u w:val="single"/>
        </w:rPr>
        <w:t xml:space="preserve">,</w:t>
      </w:r>
      <w:r>
        <w:rPr/>
        <w:t xml:space="preserve"> Washington's Wildlife license plate collection</w:t>
      </w:r>
      <w:r>
        <w:rPr>
          <w:u w:val="single"/>
        </w:rPr>
        <w:t xml:space="preserve">, and Washington's fish license plate collection</w:t>
      </w:r>
      <w:r>
        <w:rPr/>
        <w:t xml:space="preserve">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anadromous game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and</w:t>
      </w:r>
    </w:p>
    <w:p>
      <w:pPr>
        <w:spacing w:before="0" w:after="0" w:line="408" w:lineRule="exact"/>
        <w:ind w:left="0" w:right="0" w:firstLine="576"/>
        <w:jc w:val="left"/>
      </w:pPr>
      <w:r>
        <w:rPr/>
        <w:t xml:space="preserve">(m) Donations received by the director under RCW 77.12.039.</w:t>
      </w:r>
    </w:p>
    <w:p>
      <w:pPr>
        <w:spacing w:before="0" w:after="0" w:line="408" w:lineRule="exact"/>
        <w:ind w:left="0" w:right="0" w:firstLine="576"/>
        <w:jc w:val="left"/>
      </w:pPr>
      <w:r>
        <w:rPr/>
        <w:t xml:space="preserve">(2) State and county officers receiving any moneys listed in subsection (1) of this section shall deposit them in the state treasury to be credited to the state wildlife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59eb5541fa3a485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d3db3138e4d5c" /><Relationship Type="http://schemas.openxmlformats.org/officeDocument/2006/relationships/footer" Target="/word/footer.xml" Id="R59eb5541fa3a4854" /></Relationships>
</file>