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9c4a388f44c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6227</w:t>
      </w:r>
    </w:p>
    <w:p>
      <w:pPr>
        <w:jc w:val="center"/>
        <w:spacing w:before="480" w:after="0" w:line="240"/>
      </w:pPr>
      <w:r>
        <w:t xml:space="preserve">Chapter </w:t>
      </w:r>
      <w:r>
        <w:rPr/>
        <w:t xml:space="preserve">149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WASHINGTON WILDLIFE AND RECREATION PROGRAM--RECREATION AND CONSERVATION OFFICE RECOMMENDATIONS</w:t>
      </w:r>
    </w:p>
    <w:p>
      <w:pPr>
        <w:spacing w:before="720" w:after="240" w:line="240" w:lineRule="exact"/>
        <w:ind w:left="0" w:right="0" w:firstLine="576"/>
        <w:jc w:val="center"/>
      </w:pPr>
      <w:r>
        <w:t xml:space="preserve">EFFECTIVE DATE: </w:t>
      </w:r>
      <w:r>
        <w:rPr/>
        <w:t xml:space="preserve">3/31/2016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77</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4:54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Honeyford, Keiser, Rolfes, Conway, Ranker, McAuliffe, Mullet, and Chase; by request of Recreation and Conservation Office)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promote habitat conservation, outdoor recreation, working lands preservation, property rights, coordination between the state and local governments, and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a dialogue between project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uses that are compatible with habitat conservation or resources uses or management practices that are compatible with and provide the ability to achieve additional conservation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habitat;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habitat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 Whether, and the extent to which, a conservation easement can be used to meet the purposes for the project;</w:t>
      </w:r>
    </w:p>
    <w:p>
      <w:pPr>
        <w:spacing w:before="0" w:after="0" w:line="408" w:lineRule="exact"/>
        <w:ind w:left="0" w:right="0" w:firstLine="576"/>
        <w:jc w:val="left"/>
      </w:pPr>
      <w:r>
        <w:rPr>
          <w:u w:val="single"/>
        </w:rPr>
        <w:t xml:space="preserve">(iii)</w:t>
      </w:r>
      <w:r>
        <w:rPr/>
        <w:t xml:space="preserve"> Community support for the project </w:t>
      </w:r>
      <w:r>
        <w:rPr>
          <w:u w:val="single"/>
        </w:rPr>
        <w:t xml:space="preserve">based on input from, but not limited to, local citizens, local organizations, and local elected officials</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The project proposal's ongoing stewardship program that includes </w:t>
      </w:r>
      <w:r>
        <w:rPr>
          <w:u w:val="single"/>
        </w:rPr>
        <w:t xml:space="preserve">estimated costs of maintaining and operating the project including, but not limited to,</w:t>
      </w:r>
      <w:r>
        <w:rPr/>
        <w:t xml:space="preserve"> control of noxious weeds</w:t>
      </w:r>
      <w:r>
        <w:t>((</w:t>
      </w:r>
      <w:r>
        <w:rPr>
          <w:strike/>
        </w:rPr>
        <w:t xml:space="preserve">,</w:t>
      </w:r>
      <w:r>
        <w:t>))</w:t>
      </w:r>
      <w:r>
        <w:rPr/>
        <w:t xml:space="preserve"> </w:t>
      </w:r>
      <w:r>
        <w:rPr>
          <w:u w:val="single"/>
        </w:rPr>
        <w:t xml:space="preserve">and</w:t>
      </w:r>
      <w:r>
        <w:rPr/>
        <w:t xml:space="preserve">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 For critical habitat proposals by local agencies,</w:t>
      </w:r>
      <w:r>
        <w:t>))</w:t>
      </w:r>
      <w:r>
        <w:rPr/>
        <w:t xml:space="preserve"> </w:t>
      </w:r>
      <w:r>
        <w:rPr>
          <w:u w:val="single"/>
        </w:rPr>
        <w:t xml:space="preserve">(xvi) T</w:t>
      </w:r>
      <w:r>
        <w:rPr/>
        <w:t xml:space="preserve">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 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allocations in sections 3, 4, and 5 of this act apply to the prioritized list of all projects submitted by November 1, 2016. The eligibility provisions in sections 4 and 5 of this act for nonprofit nature conservancies, as defined in RCW 84.34.250, and eligibility provisions in section 10 of this act are effective for projects submitted in 2016. The recreation and conservation funding board shall provide a prioritized list of projects to be funded under RCW 79A.15.130(2)(b) by November 1, 2017. All other provisions of this act apply to subsequent grant cycles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3e6640990f114cb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e386763e248c1" /><Relationship Type="http://schemas.openxmlformats.org/officeDocument/2006/relationships/footer" Target="/word/footer.xml" Id="R3e6640990f114cbf" /></Relationships>
</file>