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88211d6af240d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INITIATIVE 1351</w:t>
      </w:r>
    </w:p>
    <w:p>
      <w:pPr>
        <w:jc w:val="center"/>
        <w:spacing w:before="480" w:after="0" w:line="240"/>
      </w:pPr>
      <w:r>
        <w:t xml:space="preserve">Chapter </w:t>
      </w:r>
      <w:r>
        <w:rPr/>
        <w:t xml:space="preserve">2</w:t>
      </w:r>
      <w:r>
        <w:t xml:space="preserve">, Laws of 2015</w:t>
      </w:r>
    </w:p>
    <w:p>
      <w:pPr>
        <w:spacing w:before="0" w:after="0" w:line="240" w:lineRule="exact"/>
        <w:ind w:left="0" w:right="0" w:firstLine="576"/>
        <w:jc w:val="center"/>
      </w:pPr>
    </w:p>
    <w:p>
      <w:pPr>
        <w:jc w:val="center"/>
        <w:spacing w:before="360" w:after="0" w:line="240"/>
      </w:pPr>
      <w:r>
        <w:t>64th Legislature</w:t>
      </w:r>
    </w:p>
    <w:p>
      <w:pPr>
        <w:jc w:val="center"/>
      </w:pPr>
      <w:r>
        <w:t>2015 Regular Session</w:t>
      </w:r>
    </w:p>
    <w:p>
      <w:pPr>
        <w:jc w:val="center"/>
        <w:spacing w:before="480" w:after="0" w:line="240"/>
      </w:pPr>
      <w:r>
        <w:rPr/>
        <w:t xml:space="preserve">Concerning K-12 education.</w:t>
      </w:r>
    </w:p>
    <w:p>
      <w:pPr>
        <w:spacing w:before="720" w:after="240" w:line="240" w:lineRule="exact"/>
        <w:ind w:left="0" w:right="0" w:firstLine="576"/>
        <w:jc w:val="left"/>
      </w:pPr>
      <w:r>
        <w:t xml:space="preserve">EFFECTIVE DATE: </w:t>
      </w:r>
      <w:r>
        <w:rPr/>
        <w:t xml:space="preserve">December 4, 2014 - Except Section 2, which becomes effective September 1, 2018.</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r>
              <w:t/>
            </w:r>
          </w:p>
        </w:tc>
        <w:tc>
          <w:tcPr>
            <w:tcW w:w="5080" w:type="dxa"/>
            <w:vAlign w:val="top"/>
          </w:tcPr>
          <w:p>
            <w:r>
              <w:t/>
            </w:r>
          </w:p>
        </w:tc>
      </w:tr>
      <w:tr>
        <w:tc>
          <w:tcPr>
            <w:tcW w:w="5080" w:type="dxa"/>
            <w:vAlign w:val="top"/>
          </w:tcPr>
          <w:p>
            <w:pPr>
              <w:spacing w:before="0" w:after="0" w:line="240" w:lineRule="exact"/>
              <w:ind w:left="0" w:right="0" w:firstLine="288"/>
              <w:jc w:val="center"/>
            </w:pPr>
            <w:r>
              <w:rPr>
                <w:rFonts w:ascii="Times New Roman" w:hAnsi="Times New Roman"/>
                <w:sz w:val="20"/>
              </w:rPr>
              <w:t xml:space="preserve">Approved by the</w:t>
            </w:r>
          </w:p>
          <w:p>
            <w:pPr>
              <w:spacing w:before="0" w:after="0" w:line="240" w:lineRule="exact"/>
              <w:ind w:left="0" w:right="0" w:firstLine="288"/>
              <w:jc w:val="center"/>
            </w:pPr>
            <w:r>
              <w:rPr>
                <w:rFonts w:ascii="Times New Roman" w:hAnsi="Times New Roman"/>
                <w:sz w:val="20"/>
              </w:rPr>
              <w:t xml:space="preserve">People of the State of Washington</w:t>
            </w:r>
          </w:p>
          <w:p>
            <w:pPr>
              <w:spacing w:before="0" w:after="0" w:line="240" w:lineRule="exact"/>
              <w:ind w:left="0" w:right="0" w:firstLine="288"/>
              <w:jc w:val="center"/>
            </w:pPr>
            <w:r>
              <w:rPr>
                <w:rFonts w:ascii="Times New Roman" w:hAnsi="Times New Roman"/>
                <w:sz w:val="20"/>
              </w:rPr>
              <w:t xml:space="preserve">in the General Election on</w:t>
            </w:r>
          </w:p>
          <w:p>
            <w:pPr>
              <w:spacing w:before="0" w:after="0" w:line="240"/>
            </w:pPr>
            <w:r>
              <w:t xml:space="preserve">Approved </w:t>
            </w:r>
            <w:r>
              <w:rPr>
                <w:rFonts w:ascii="Times New Roman" w:hAnsi="Times New Roman"/>
                <w:sz w:val="20"/>
              </w:rPr>
              <w:t xml:space="preserve">November 4, 2014</w:t>
            </w:r>
          </w:p>
        </w:tc>
        <w:tc>
          <w:tcPr>
            <w:tcW w:w="5080" w:type="dxa"/>
            <w:vAlign w:val="top"/>
          </w:tcPr>
          <w:p>
            <w:pPr>
              <w:spacing w:before="0" w:after="0" w:line="240" w:lineRule="exact"/>
              <w:ind w:left="0" w:right="0" w:firstLine="288"/>
              <w:jc w:val="center"/>
            </w:pPr>
            <w:r>
              <w:rPr>
                <w:rFonts w:ascii="Times New Roman" w:hAnsi="Times New Roman"/>
                <w:sz w:val="20"/>
              </w:rPr>
              <w:t xml:space="preserve">ORIGINALLY FILED</w:t>
            </w:r>
          </w:p>
          <w:p>
            <w:pPr>
              <w:jc w:val="center"/>
            </w:pPr>
            <w:r>
              <w:rPr>
                <w:t xml:space="preserve">FILED</w:t>
              </w:rPr>
            </w:r>
          </w:p>
          <w:p>
            <w:pPr>
              <w:jc w:val="center"/>
            </w:pPr>
            <w:r>
              <w:rPr>
                <w:rFonts w:ascii="Times New Roman" w:hAnsi="Times New Roman"/>
                <w:sz w:val="20"/>
              </w:rPr>
              <w:t xml:space="preserve">March 18, 2014</w:t>
            </w:r>
          </w:p>
          <w:p>
            <w:pPr>
              <w:spacing w:before="0" w:after="0" w:line="240" w:lineRule="exact"/>
              <w:ind w:left="0" w:right="0" w:firstLine="288"/>
              <w:jc w:val="center"/>
            </w:pPr>
            <w:r>
              <w:rPr>
                <w:rFonts w:ascii="Times New Roman" w:hAnsi="Times New Roman"/>
                <w:b/>
                <w:sz w:val="20"/>
              </w:rPr>
              <w:t xml:space="preserve">Secretary of State</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INITIATIVE 1351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lowering class sizes and increasing school staff to provide all students the opportunity for a quality education; amending RCW 28A.150.260; adding a new section to chapter 28A.150 RCW; creating new sections; and providing an effective date.</w:t>
      </w:r>
    </w:p>
    <w:p>
      <w:r>
        <w:t/>
      </w:r>
    </w:p>
    <w:p>
      <w:r>
        <w:t>BE IT ENACTED BY THE PEOPLE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initiative concerns reducing the number of students per class in grades K-12. Washington ranks forty-seventh out of fifty states in the nation in the number of students per class. The voters understand that reduced class sizes are critical for students especially to learn technical skills such as mathematics, science, technology, and other skills critical for success in the new economy.</w:t>
      </w:r>
    </w:p>
    <w:p>
      <w:pPr>
        <w:spacing w:before="0" w:after="0" w:line="408" w:lineRule="exact"/>
        <w:ind w:left="0" w:right="0" w:firstLine="576"/>
        <w:jc w:val="left"/>
      </w:pPr>
      <w:r>
        <w:rPr/>
        <w:t xml:space="preserve">It is the intent of the voters that reduction in class sizes be achieved by the legislature funding annual investments to lower class sizes and to increase school staffing in order to provide every student with the opportunities to receive a high quality basic education as well as improve student performance and graduation rates.</w:t>
      </w:r>
    </w:p>
    <w:p>
      <w:pPr>
        <w:spacing w:before="0" w:after="0" w:line="408" w:lineRule="exact"/>
        <w:ind w:left="0" w:right="0" w:firstLine="576"/>
        <w:jc w:val="left"/>
      </w:pPr>
      <w:r>
        <w:rPr/>
        <w:t xml:space="preserve">A teacher's ability to individualize instruction, provide timely feedback to students and families, and keep students actively engaged in learning activities is substantially increased with smaller class sizes. Students in smaller classes have shown improved attendance, greater academic growth, and higher scores on achievement tests; and students from disadvantaged groups experience two to three times the average gains of their peers. Smaller class sizes will provide an equitable opportunity for all students to reach their potential and will assist in closing the achievement gap.</w:t>
      </w:r>
    </w:p>
    <w:p>
      <w:pPr>
        <w:spacing w:before="0" w:after="0" w:line="408" w:lineRule="exact"/>
        <w:ind w:left="0" w:right="0" w:firstLine="576"/>
        <w:jc w:val="left"/>
      </w:pPr>
      <w:r>
        <w:rPr/>
        <w:t xml:space="preserve">In order to comply with the constitutional requirement to amply fund basic education and with the Washington supreme court decision in </w:t>
      </w:r>
      <w:r>
        <w:rPr>
          <w:i/>
        </w:rPr>
        <w:t xml:space="preserve">McCleary v. the State of Washington</w:t>
      </w:r>
      <w:r>
        <w:rPr/>
        <w:t xml:space="preserve">, it is the intent of the voters to implement with fidelity chapter 548, Laws of 2009 and chapter 236, Laws of 2010. These laws revised the definition of the program of basic education, established new methods for distributing state funds to school districts to support this program of basic education, and established a process where the quality education council and technical working groups would make recommendations as to the level of resources that would be required to achieve the state's defined program of basic education by 2018.</w:t>
      </w:r>
    </w:p>
    <w:p>
      <w:pPr>
        <w:spacing w:before="0" w:after="0" w:line="408" w:lineRule="exact"/>
        <w:ind w:left="0" w:right="0" w:firstLine="576"/>
        <w:jc w:val="left"/>
      </w:pPr>
      <w:r>
        <w:rPr/>
        <w:t xml:space="preserve">This measure would create smaller class sizes for grades K-12 over a four-year period with priority to schools with high levels of student poverty. These annual improvements are to be considered basic education funding that may be used to assist the Washington supreme court to determine the adequacy of progress in addressing the state's paramount duty in accordance with the </w:t>
      </w:r>
      <w:r>
        <w:rPr>
          <w:i/>
        </w:rPr>
        <w:t xml:space="preserve">McCleary</w:t>
      </w:r>
      <w:r>
        <w:rPr/>
        <w:t xml:space="preserve"> decision. State funding would be provided based on a reduction of K-3 class size to seventeen and grade 4-12 class size to twenty-five; and for schools with more than fifty percent of students in poverty, that is, more than fifty percent of students were eligible for free and reduced-price meals in the prior school year, a reduction of K-3 class size to fifteen, grade 4 to twenty-two, and grade 5-12 class size to twenty-three. The measure would also provide funding for increased school teaching and student support including librarians, counselors, school nurses, teaching assistants, and other critical staff necessary for the safe and effective operation of a school, to meet individual student needs, and to ensure all required school functions can be performed by appropriately trained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2011 1st sp.s. c 27 s 2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w:t>
      </w:r>
      <w:r>
        <w:rPr>
          <w:u w:val="single"/>
        </w:rPr>
        <w:t xml:space="preserve">as required for class size reduction funding provided under subsection (4)(f) of this section and</w:t>
      </w:r>
      <w:r>
        <w:rPr/>
        <w:t xml:space="preserve">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120" w:line="408" w:lineRule="exact"/>
        <w:ind w:left="0" w:right="0" w:firstLine="576"/>
        <w:jc w:val="left"/>
      </w:pPr>
      <w:r>
        <w:rPr/>
        <w:t xml:space="preserve">(4)(a)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0" w:after="0" w:line="408" w:lineRule="exact"/>
        <w:ind w:left="0" w:right="0" w:firstLine="576"/>
        <w:jc w:val="right"/>
      </w:pPr>
      <w:r>
        <w:rPr/>
        <w:t xml:space="preserve">General education</w:t>
      </w:r>
    </w:p>
    <w:p>
      <w:pPr>
        <w:spacing w:before="0" w:after="0" w:line="408" w:lineRule="exact"/>
        <w:ind w:left="0" w:right="0" w:firstLine="576"/>
        <w:jc w:val="right"/>
      </w:pPr>
      <w:r>
        <w:rPr/>
        <w:t xml:space="preserve">average</w:t>
      </w:r>
    </w:p>
    <w:p>
      <w:pPr>
        <w:spacing w:before="0" w:after="0" w:line="408" w:lineRule="exact"/>
        <w:ind w:left="0" w:right="0" w:firstLine="576"/>
        <w:jc w:val="right"/>
      </w:pPr>
      <w:r>
        <w:rPr/>
        <w:t xml:space="preserve">class size</w:t>
      </w:r>
    </w:p>
    <w:p>
      <w:pPr>
        <w:spacing w:before="0" w:after="0" w:line="408" w:lineRule="exact"/>
        <w:ind w:left="0" w:right="0" w:firstLine="0"/>
        <w:jc w:val="left"/>
        <w:tabs>
          <w:tab w:val="right" w:leader="dot" w:pos="9936"/>
        </w:tabs>
      </w:pPr>
      <w:r>
        <w:rPr/>
        <w:t xml:space="preserve">Grades K-3</w:t>
      </w:r>
      <w:r>
        <w:tab/>
      </w:r>
      <w:r>
        <w:rPr/>
        <w:t xml:space="preserve">((</w:t>
      </w:r>
      <w:r>
        <w:rPr>
          <w:strike/>
        </w:rPr>
        <w:t xml:space="preserve">25.23</w:t>
      </w:r>
      <w:r>
        <w:rPr/>
        <w:t xml:space="preserve">)) </w:t>
      </w:r>
      <w:r>
        <w:rPr>
          <w:u w:val="single"/>
        </w:rPr>
        <w:t xml:space="preserve">17.0</w:t>
      </w:r>
    </w:p>
    <w:p>
      <w:pPr>
        <w:spacing w:before="0" w:after="0" w:line="408" w:lineRule="exact"/>
        <w:ind w:left="0" w:right="0" w:firstLine="0"/>
        <w:jc w:val="left"/>
        <w:tabs>
          <w:tab w:val="right" w:leader="dot" w:pos="9936"/>
        </w:tabs>
      </w:pPr>
      <w:r>
        <w:rPr/>
        <w:t xml:space="preserve">Grade 4</w:t>
      </w:r>
      <w:r>
        <w:tab/>
      </w:r>
      <w:r>
        <w:rPr/>
        <w:t xml:space="preserve">((</w:t>
      </w:r>
      <w:r>
        <w:rPr>
          <w:strike/>
        </w:rPr>
        <w:t xml:space="preserve">27.00</w:t>
      </w:r>
      <w:r>
        <w:rPr/>
        <w:t xml:space="preserve">)) </w:t>
      </w:r>
      <w:r>
        <w:rPr>
          <w:u w:val="single"/>
        </w:rPr>
        <w:t xml:space="preserve">25.0</w:t>
      </w:r>
    </w:p>
    <w:p>
      <w:pPr>
        <w:spacing w:before="0" w:after="0" w:line="408" w:lineRule="exact"/>
        <w:ind w:left="0" w:right="0" w:firstLine="0"/>
        <w:jc w:val="left"/>
        <w:tabs>
          <w:tab w:val="right" w:leader="dot" w:pos="9936"/>
        </w:tabs>
      </w:pPr>
      <w:r>
        <w:rPr/>
        <w:t xml:space="preserve">Grades 5-6</w:t>
      </w:r>
      <w:r>
        <w:tab/>
      </w:r>
      <w:r>
        <w:rPr/>
        <w:t xml:space="preserve">((</w:t>
      </w:r>
      <w:r>
        <w:rPr>
          <w:strike/>
        </w:rPr>
        <w:t xml:space="preserve">27.00</w:t>
      </w:r>
      <w:r>
        <w:rPr/>
        <w:t xml:space="preserve">)) </w:t>
      </w:r>
      <w:r>
        <w:rPr>
          <w:u w:val="single"/>
        </w:rPr>
        <w:t xml:space="preserve">25.0</w:t>
      </w:r>
    </w:p>
    <w:p>
      <w:pPr>
        <w:spacing w:before="0" w:after="0" w:line="408" w:lineRule="exact"/>
        <w:ind w:left="0" w:right="0" w:firstLine="0"/>
        <w:jc w:val="left"/>
        <w:tabs>
          <w:tab w:val="right" w:leader="dot" w:pos="9936"/>
        </w:tabs>
      </w:pPr>
      <w:r>
        <w:rPr/>
        <w:t xml:space="preserve">Grades 7-8</w:t>
      </w:r>
      <w:r>
        <w:tab/>
      </w:r>
      <w:r>
        <w:rPr/>
        <w:t xml:space="preserve">((</w:t>
      </w:r>
      <w:r>
        <w:rPr>
          <w:strike/>
        </w:rPr>
        <w:t xml:space="preserve">28.53</w:t>
      </w:r>
      <w:r>
        <w:rPr/>
        <w:t xml:space="preserve">)) </w:t>
      </w:r>
      <w:r>
        <w:rPr>
          <w:u w:val="single"/>
        </w:rPr>
        <w:t xml:space="preserve">25.0</w:t>
      </w:r>
    </w:p>
    <w:p>
      <w:pPr>
        <w:spacing w:before="0" w:after="0" w:line="408" w:lineRule="exact"/>
        <w:ind w:left="0" w:right="0" w:firstLine="0"/>
        <w:jc w:val="left"/>
        <w:tabs>
          <w:tab w:val="right" w:leader="dot" w:pos="9936"/>
        </w:tabs>
      </w:pPr>
      <w:r>
        <w:rPr/>
        <w:t xml:space="preserve">Grades 9-12</w:t>
      </w:r>
      <w:r>
        <w:tab/>
      </w:r>
      <w:r>
        <w:rPr/>
        <w:t xml:space="preserve">((</w:t>
      </w:r>
      <w:r>
        <w:rPr>
          <w:strike/>
        </w:rPr>
        <w:t xml:space="preserve">28.74</w:t>
      </w:r>
      <w:r>
        <w:rPr/>
        <w:t xml:space="preserve">)) </w:t>
      </w:r>
      <w:r>
        <w:rPr>
          <w:u w:val="single"/>
        </w:rPr>
        <w:t xml:space="preserve">25.0</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12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0" w:after="0" w:line="408" w:lineRule="exact"/>
        <w:ind w:left="0" w:right="0" w:firstLine="576"/>
        <w:jc w:val="right"/>
      </w:pPr>
      <w:r>
        <w:rPr/>
        <w:t xml:space="preserve">Career and technical</w:t>
      </w:r>
    </w:p>
    <w:p>
      <w:pPr>
        <w:spacing w:before="0" w:after="0" w:line="408" w:lineRule="exact"/>
        <w:ind w:left="0" w:right="0" w:firstLine="576"/>
        <w:jc w:val="right"/>
      </w:pPr>
      <w:r>
        <w:rPr/>
        <w:t xml:space="preserve">education average</w:t>
      </w:r>
    </w:p>
    <w:p>
      <w:pPr>
        <w:spacing w:before="0" w:after="0" w:line="408" w:lineRule="exact"/>
        <w:ind w:left="0" w:right="0" w:firstLine="576"/>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w:t>
      </w:r>
      <w:r>
        <w:rPr>
          <w:strike/>
        </w:rPr>
        <w:t xml:space="preserve">26.57</w:t>
      </w:r>
      <w:r>
        <w:rPr/>
        <w:t xml:space="preserve">)) </w:t>
      </w:r>
      <w:r>
        <w:rPr>
          <w:u w:val="single"/>
        </w:rPr>
        <w:t xml:space="preserve">19.0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120" w:line="408" w:lineRule="exact"/>
        <w:ind w:left="0" w:right="0" w:firstLine="0"/>
        <w:jc w:val="left"/>
        <w:tabs>
          <w:tab w:val="right" w:leader="dot" w:pos="9936"/>
        </w:tabs>
      </w:pPr>
      <w:r>
        <w:rPr/>
        <w:t xml:space="preserve">instruction</w:t>
      </w:r>
      <w:r>
        <w:tab/>
      </w:r>
      <w:r>
        <w:rPr/>
        <w:t xml:space="preserve">((</w:t>
      </w:r>
      <w:r>
        <w:rPr>
          <w:strike/>
        </w:rPr>
        <w:t xml:space="preserve">22.76</w:t>
      </w:r>
      <w:r>
        <w:rPr/>
        <w:t xml:space="preserve">)) </w:t>
      </w:r>
      <w:r>
        <w:rPr>
          <w:u w:val="single"/>
        </w:rPr>
        <w:t xml:space="preserve">16.0</w:t>
      </w:r>
    </w:p>
    <w:p>
      <w:pPr>
        <w:spacing w:before="0" w:after="0" w:line="408" w:lineRule="exact"/>
        <w:ind w:left="0" w:right="0" w:firstLine="576"/>
        <w:jc w:val="left"/>
      </w:pPr>
      <w:r>
        <w:rPr/>
        <w:t xml:space="preserve">(d) In addition, the omnibus appropriations act shall at a minimum specify((</w:t>
      </w:r>
      <w:r>
        <w:rPr>
          <w:strike/>
        </w:rPr>
        <w:t xml:space="preserve">:</w:t>
      </w:r>
    </w:p>
    <w:p>
      <w:pPr>
        <w:spacing w:before="0" w:after="0" w:line="408" w:lineRule="exact"/>
        <w:ind w:left="0" w:right="0" w:firstLine="576"/>
        <w:jc w:val="left"/>
      </w:pPr>
      <w:r>
        <w:rPr>
          <w:strike/>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strike/>
        </w:rPr>
        <w:t xml:space="preserve">(ii)</w:t>
      </w:r>
      <w:r>
        <w:rPr/>
        <w:t xml:space="preserve">)) </w:t>
      </w:r>
      <w:r>
        <w:rPr>
          <w:u w:val="single"/>
        </w:rPr>
        <w:t xml:space="preserve">a</w:t>
      </w:r>
      <w:r>
        <w:rPr/>
        <w:t xml:space="preserve"> specialty average class size for laboratory science, advanced placement, and international baccalaureate courses.</w:t>
      </w:r>
    </w:p>
    <w:p>
      <w:pPr>
        <w:spacing w:before="0" w:after="120" w:line="408" w:lineRule="exact"/>
        <w:ind w:left="0" w:right="0" w:firstLine="576"/>
        <w:jc w:val="left"/>
      </w:pPr>
      <w:r>
        <w:rPr>
          <w:u w:val="single"/>
        </w:rPr>
        <w:t xml:space="preserve">(e)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spacing w:before="0" w:after="0" w:line="408" w:lineRule="exact"/>
        <w:ind w:left="0" w:right="0" w:firstLine="576"/>
        <w:jc w:val="right"/>
      </w:pPr>
      <w:r>
        <w:rPr>
          <w:u w:val="single"/>
        </w:rPr>
        <w:t xml:space="preserve">General education average</w:t>
      </w:r>
    </w:p>
    <w:p>
      <w:pPr>
        <w:spacing w:before="0" w:after="0" w:line="408" w:lineRule="exact"/>
        <w:ind w:left="0" w:right="0" w:firstLine="576"/>
        <w:jc w:val="right"/>
      </w:pPr>
      <w:r>
        <w:rPr>
          <w:u w:val="single"/>
        </w:rPr>
        <w:t xml:space="preserve">class size in</w:t>
      </w:r>
    </w:p>
    <w:p>
      <w:pPr>
        <w:spacing w:before="0" w:after="0" w:line="408" w:lineRule="exact"/>
        <w:ind w:left="0" w:right="0" w:firstLine="576"/>
        <w:jc w:val="right"/>
      </w:pPr>
      <w:r>
        <w:rPr>
          <w:u w:val="single"/>
        </w:rPr>
        <w:t xml:space="preserve">high poverty</w:t>
      </w:r>
    </w:p>
    <w:p>
      <w:pPr>
        <w:spacing w:before="0" w:after="0" w:line="408" w:lineRule="exact"/>
        <w:ind w:left="0" w:right="0" w:firstLine="0"/>
        <w:jc w:val="left"/>
        <w:tabs>
          <w:tab w:val="right" w:leader="dot" w:pos="9936"/>
        </w:tabs>
      </w:pPr>
      <w:r>
        <w:rPr>
          <w:u w:val="single"/>
        </w:rPr>
        <w:t xml:space="preserve">Grades K-3</w:t>
      </w:r>
      <w:r>
        <w:tab/>
      </w:r>
      <w:r>
        <w:rPr>
          <w:u w:val="single"/>
        </w:rPr>
        <w:t xml:space="preserve">15.0</w:t>
      </w:r>
    </w:p>
    <w:p>
      <w:pPr>
        <w:spacing w:before="0" w:after="0" w:line="408" w:lineRule="exact"/>
        <w:ind w:left="0" w:right="0" w:firstLine="0"/>
        <w:jc w:val="left"/>
        <w:tabs>
          <w:tab w:val="right" w:leader="dot" w:pos="9936"/>
        </w:tabs>
      </w:pPr>
      <w:r>
        <w:rPr>
          <w:u w:val="single"/>
        </w:rPr>
        <w:t xml:space="preserve">Grade 4</w:t>
      </w:r>
      <w:r>
        <w:tab/>
      </w:r>
      <w:r>
        <w:rPr>
          <w:u w:val="single"/>
        </w:rPr>
        <w:t xml:space="preserve">22.0</w:t>
      </w:r>
    </w:p>
    <w:p>
      <w:pPr>
        <w:spacing w:before="0" w:after="0" w:line="408" w:lineRule="exact"/>
        <w:ind w:left="0" w:right="0" w:firstLine="0"/>
        <w:jc w:val="left"/>
        <w:tabs>
          <w:tab w:val="right" w:leader="dot" w:pos="9936"/>
        </w:tabs>
      </w:pPr>
      <w:r>
        <w:rPr>
          <w:u w:val="single"/>
        </w:rPr>
        <w:t xml:space="preserve">Grades 5-6</w:t>
      </w:r>
      <w:r>
        <w:tab/>
      </w:r>
      <w:r>
        <w:rPr>
          <w:u w:val="single"/>
        </w:rPr>
        <w:t xml:space="preserve">23.0</w:t>
      </w:r>
    </w:p>
    <w:p>
      <w:pPr>
        <w:spacing w:before="0" w:after="0" w:line="408" w:lineRule="exact"/>
        <w:ind w:left="0" w:right="0" w:firstLine="0"/>
        <w:jc w:val="left"/>
        <w:tabs>
          <w:tab w:val="right" w:leader="dot" w:pos="9936"/>
        </w:tabs>
      </w:pPr>
      <w:r>
        <w:rPr>
          <w:u w:val="single"/>
        </w:rPr>
        <w:t xml:space="preserve">Grades 7-8</w:t>
      </w:r>
      <w:r>
        <w:tab/>
      </w:r>
      <w:r>
        <w:rPr>
          <w:u w:val="single"/>
        </w:rPr>
        <w:t xml:space="preserve">23.0</w:t>
      </w:r>
    </w:p>
    <w:p>
      <w:pPr>
        <w:spacing w:before="0" w:after="120" w:line="408" w:lineRule="exact"/>
        <w:ind w:left="0" w:right="0" w:firstLine="0"/>
        <w:jc w:val="left"/>
        <w:tabs>
          <w:tab w:val="right" w:leader="dot" w:pos="9936"/>
        </w:tabs>
      </w:pPr>
      <w:r>
        <w:rPr>
          <w:u w:val="single"/>
        </w:rPr>
        <w:t xml:space="preserve">Grades 9-12</w:t>
      </w:r>
      <w:r>
        <w:tab/>
      </w:r>
      <w:r>
        <w:rPr>
          <w:u w:val="single"/>
        </w:rPr>
        <w:t xml:space="preserve">23.0</w:t>
      </w:r>
    </w:p>
    <w:p>
      <w:pPr>
        <w:spacing w:before="0" w:after="0" w:line="408" w:lineRule="exact"/>
        <w:ind w:left="0" w:right="0" w:firstLine="576"/>
        <w:jc w:val="left"/>
      </w:pPr>
      <w:r>
        <w:rPr>
          <w:u w:val="single"/>
        </w:rPr>
        <w:t xml:space="preserve">(f)(i) Funding for average class sizes in this subsection (4) shall be provided only to the extent of, and proportionate to, the school district's demonstrated actual average class size, up to the funded class sizes.</w:t>
      </w:r>
    </w:p>
    <w:p>
      <w:pPr>
        <w:spacing w:before="0" w:after="0" w:line="408" w:lineRule="exact"/>
        <w:ind w:left="0" w:right="0" w:firstLine="576"/>
        <w:jc w:val="left"/>
      </w:pPr>
      <w:r>
        <w:rPr>
          <w:u w:val="single"/>
        </w:rPr>
        <w:t xml:space="preserve">(ii) Districts that demonstrate capital facility needs that prevent them from reducing actual class sizes to funded levels, may use funding in this subsection (4) for school based-personnel who provide direct services to students. Districts that use this funding for purposes other than reducing actual class sizes must annually report the number and dollar value for each type of personnel funded by school and grade level.</w:t>
      </w:r>
    </w:p>
    <w:p>
      <w:pPr>
        <w:spacing w:before="0" w:after="0" w:line="408" w:lineRule="exact"/>
        <w:ind w:left="0" w:right="0" w:firstLine="576"/>
        <w:jc w:val="left"/>
      </w:pPr>
      <w:r>
        <w:rPr>
          <w:u w:val="single"/>
        </w:rPr>
        <w:t xml:space="preserve">(iii) The office of the superintendent of public instruction shall develop rules to implement this subsection (4).</w:t>
      </w:r>
    </w:p>
    <w:p>
      <w:pPr>
        <w:spacing w:before="0" w:after="120" w:line="408" w:lineRule="exact"/>
        <w:ind w:left="0" w:right="0" w:firstLine="576"/>
        <w:jc w:val="left"/>
      </w:pPr>
      <w:r>
        <w:rPr/>
        <w:t xml:space="preserve">(5) The minimum allocation for each level of prototypical school shall include allocations </w:t>
      </w:r>
      <w:r>
        <w:rPr>
          <w:u w:val="single"/>
        </w:rPr>
        <w:t xml:space="preserve">necessary for the safe and effective operation of a school, to meet individual student needs, and to ensure all required school functions can be performed by appropriately trained personnel,</w:t>
      </w:r>
      <w:r>
        <w:rPr/>
        <w:t xml:space="preserve">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680"/>
        <w:gridCol w:w="1320"/>
        <w:gridCol w:w="1020"/>
        <w:gridCol w:w="1140"/>
      </w:tblGrid>
      <w:tr>
        <w:tc>
          <w:tcPr>
            <w:tcW w:w="6680" w:type="dxa"/>
            <w:vAlign w:val="top"/>
          </w:tcPr>
          <w:p>
            <w:pPr>
              <w:spacing w:before="0" w:after="0" w:line="408" w:lineRule="exact"/>
              <w:ind w:left="0" w:right="0" w:firstLine="0"/>
              <w:jc w:val="left"/>
            </w:pPr>
          </w:p>
        </w:tc>
        <w:tc>
          <w:tcPr>
            <w:tcW w:w="132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1020" w:type="dxa"/>
            <w:vAlign w:val="top"/>
          </w:tcPr>
          <w:p>
            <w:pPr>
              <w:spacing w:before="0" w:after="0" w:line="408" w:lineRule="exact"/>
              <w:ind w:left="0" w:right="0" w:firstLine="0"/>
              <w:jc w:val="left"/>
            </w:pPr>
            <w:r>
              <w:rPr>
                <w:rFonts w:ascii="Times New Roman" w:hAnsi="Times New Roman"/>
                <w:sz w:val="20"/>
              </w:rPr>
              <w:t xml:space="preserve">Middle School</w:t>
            </w:r>
          </w:p>
        </w:tc>
        <w:tc>
          <w:tcPr>
            <w:tcW w:w="114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6680" w:type="dxa"/>
            <w:vAlign w:val="top"/>
          </w:tcPr>
          <w:p>
            <w:pPr>
              <w:tabs>
                <w:tab w:val="right" w:leader="dot" w:pos="6668"/>
              </w:tabs>
              <w:spacing w:before="0" w:after="0" w:line="408" w:lineRule="exact"/>
              <w:ind w:left="0" w:right="0" w:firstLine="0"/>
              <w:jc w:val="left"/>
            </w:pPr>
            <w:r>
              <w:rPr>
                <w:rFonts w:ascii="Times New Roman" w:hAnsi="Times New Roman"/>
                <w:sz w:val="20"/>
              </w:rPr>
              <w:t xml:space="preserve">Principals, assistant principals, and other certificated building-level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1.253</w:t>
            </w:r>
            <w:r>
              <w:rPr>
                <w:rFonts w:ascii="Times New Roman" w:hAnsi="Times New Roman"/>
                <w:sz w:val="20"/>
              </w:rPr>
              <w:t xml:space="preserve">))</w:t>
            </w:r>
          </w:p>
          <w:p>
            <w:pPr>
              <w:spacing w:before="0" w:after="0" w:line="408" w:lineRule="exact"/>
              <w:ind w:left="0" w:right="0" w:firstLine="0"/>
              <w:jc w:val="left"/>
            </w:pPr>
            <w:r>
              <w:rPr>
                <w:rFonts w:ascii="Times New Roman" w:hAnsi="Times New Roman"/>
                <w:sz w:val="20"/>
                <w:u w:val="single"/>
              </w:rPr>
              <w:t xml:space="preserve">1.3</w:t>
            </w:r>
          </w:p>
        </w:tc>
        <w:tc>
          <w:tcPr>
            <w:tcW w:w="10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1.353</w:t>
            </w:r>
            <w:r>
              <w:rPr>
                <w:rFonts w:ascii="Times New Roman" w:hAnsi="Times New Roman"/>
                <w:sz w:val="20"/>
              </w:rPr>
              <w:t xml:space="preserve">)) </w:t>
            </w:r>
            <w:r>
              <w:rPr>
                <w:rFonts w:ascii="Times New Roman" w:hAnsi="Times New Roman"/>
                <w:sz w:val="20"/>
                <w:u w:val="single"/>
              </w:rPr>
              <w:t xml:space="preserve">1.4</w:t>
            </w:r>
          </w:p>
        </w:tc>
        <w:tc>
          <w:tcPr>
            <w:tcW w:w="114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1.880</w:t>
            </w:r>
            <w:r>
              <w:rPr>
                <w:rFonts w:ascii="Times New Roman" w:hAnsi="Times New Roman"/>
                <w:sz w:val="20"/>
              </w:rPr>
              <w:t xml:space="preserve">)) </w:t>
            </w:r>
            <w:r>
              <w:rPr>
                <w:rFonts w:ascii="Times New Roman" w:hAnsi="Times New Roman"/>
                <w:sz w:val="20"/>
                <w:u w:val="single"/>
              </w:rPr>
              <w:t xml:space="preserve">1.9</w:t>
            </w:r>
          </w:p>
        </w:tc>
      </w:tr>
      <w:tr>
        <w:tc>
          <w:tcPr>
            <w:tcW w:w="6680" w:type="dxa"/>
            <w:vAlign w:val="top"/>
          </w:tcPr>
          <w:p>
            <w:pPr>
              <w:tabs>
                <w:tab w:val="right" w:leader="dot" w:pos="666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0.663</w:t>
            </w:r>
            <w:r>
              <w:rPr>
                <w:rFonts w:ascii="Times New Roman" w:hAnsi="Times New Roman"/>
                <w:sz w:val="20"/>
              </w:rPr>
              <w:t xml:space="preserve">))</w:t>
            </w:r>
          </w:p>
          <w:p>
            <w:pPr>
              <w:spacing w:before="0" w:after="0" w:line="408" w:lineRule="exact"/>
              <w:ind w:left="0" w:right="0" w:firstLine="0"/>
              <w:jc w:val="left"/>
            </w:pPr>
            <w:r>
              <w:rPr>
                <w:rFonts w:ascii="Times New Roman" w:hAnsi="Times New Roman"/>
                <w:sz w:val="20"/>
                <w:u w:val="single"/>
              </w:rPr>
              <w:t xml:space="preserve">1.0</w:t>
            </w:r>
          </w:p>
        </w:tc>
        <w:tc>
          <w:tcPr>
            <w:tcW w:w="10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0.519</w:t>
            </w:r>
            <w:r>
              <w:rPr>
                <w:rFonts w:ascii="Times New Roman" w:hAnsi="Times New Roman"/>
                <w:sz w:val="20"/>
              </w:rPr>
              <w:t xml:space="preserve">)) </w:t>
            </w:r>
            <w:r>
              <w:rPr>
                <w:rFonts w:ascii="Times New Roman" w:hAnsi="Times New Roman"/>
                <w:sz w:val="20"/>
                <w:u w:val="single"/>
              </w:rPr>
              <w:t xml:space="preserve">1.0</w:t>
            </w:r>
          </w:p>
        </w:tc>
        <w:tc>
          <w:tcPr>
            <w:tcW w:w="114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0.523</w:t>
            </w:r>
            <w:r>
              <w:rPr>
                <w:rFonts w:ascii="Times New Roman" w:hAnsi="Times New Roman"/>
                <w:sz w:val="20"/>
              </w:rPr>
              <w:t xml:space="preserve">)) </w:t>
            </w:r>
            <w:r>
              <w:rPr>
                <w:rFonts w:ascii="Times New Roman" w:hAnsi="Times New Roman"/>
                <w:sz w:val="20"/>
                <w:u w:val="single"/>
              </w:rPr>
              <w:t xml:space="preserve">1.0</w:t>
            </w:r>
          </w:p>
        </w:tc>
      </w:tr>
      <w:tr>
        <w:tc>
          <w:tcPr>
            <w:tcW w:w="668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140" w:type="dxa"/>
            <w:vAlign w:val="top"/>
          </w:tcPr>
          <w:p>
            <w:pPr>
              <w:spacing w:before="0" w:after="0" w:line="408" w:lineRule="exact"/>
              <w:ind w:left="0" w:right="0" w:firstLine="0"/>
              <w:jc w:val="left"/>
            </w:pPr>
          </w:p>
        </w:tc>
      </w:tr>
      <w:tr>
        <w:tc>
          <w:tcPr>
            <w:tcW w:w="6680" w:type="dxa"/>
            <w:vAlign w:val="top"/>
          </w:tcPr>
          <w:p>
            <w:pPr>
              <w:tabs>
                <w:tab w:val="right" w:leader="dot" w:pos="6668"/>
              </w:tabs>
              <w:spacing w:before="0" w:after="0" w:line="408" w:lineRule="exact"/>
              <w:ind w:left="0" w:right="0" w:firstLine="0"/>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0.076</w:t>
            </w:r>
            <w:r>
              <w:rPr>
                <w:rFonts w:ascii="Times New Roman" w:hAnsi="Times New Roman"/>
                <w:sz w:val="20"/>
              </w:rPr>
              <w:t xml:space="preserve">)) </w:t>
            </w:r>
            <w:r>
              <w:rPr>
                <w:rFonts w:ascii="Times New Roman" w:hAnsi="Times New Roman"/>
                <w:sz w:val="20"/>
                <w:u w:val="single"/>
              </w:rPr>
              <w:t xml:space="preserve">0.585</w:t>
            </w:r>
          </w:p>
        </w:tc>
        <w:tc>
          <w:tcPr>
            <w:tcW w:w="102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0.060</w:t>
            </w:r>
            <w:r>
              <w:rPr>
                <w:rFonts w:ascii="Times New Roman" w:hAnsi="Times New Roman"/>
                <w:sz w:val="20"/>
              </w:rPr>
              <w:t xml:space="preserve">)) </w:t>
            </w:r>
            <w:r>
              <w:rPr>
                <w:rFonts w:ascii="Times New Roman" w:hAnsi="Times New Roman"/>
                <w:sz w:val="20"/>
                <w:u w:val="single"/>
              </w:rPr>
              <w:t xml:space="preserve">0.888</w:t>
            </w:r>
          </w:p>
        </w:tc>
        <w:tc>
          <w:tcPr>
            <w:tcW w:w="114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0.096</w:t>
            </w:r>
            <w:r>
              <w:rPr>
                <w:rFonts w:ascii="Times New Roman" w:hAnsi="Times New Roman"/>
                <w:sz w:val="20"/>
              </w:rPr>
              <w:t xml:space="preserve">)) </w:t>
            </w:r>
            <w:r>
              <w:rPr>
                <w:rFonts w:ascii="Times New Roman" w:hAnsi="Times New Roman"/>
                <w:sz w:val="20"/>
                <w:u w:val="single"/>
              </w:rPr>
              <w:t xml:space="preserve">0.824</w:t>
            </w:r>
          </w:p>
        </w:tc>
      </w:tr>
      <w:tr>
        <w:tc>
          <w:tcPr>
            <w:tcW w:w="6680" w:type="dxa"/>
            <w:vAlign w:val="top"/>
          </w:tcPr>
          <w:p>
            <w:pPr>
              <w:tabs>
                <w:tab w:val="right" w:leader="dot" w:pos="6668"/>
              </w:tabs>
              <w:spacing w:before="0" w:after="0" w:line="408" w:lineRule="exact"/>
              <w:ind w:left="0" w:right="0" w:firstLine="0"/>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0.042</w:t>
            </w:r>
            <w:r>
              <w:rPr>
                <w:rFonts w:ascii="Times New Roman" w:hAnsi="Times New Roman"/>
                <w:sz w:val="20"/>
              </w:rPr>
              <w:t xml:space="preserve">)) </w:t>
            </w:r>
            <w:r>
              <w:rPr>
                <w:rFonts w:ascii="Times New Roman" w:hAnsi="Times New Roman"/>
                <w:sz w:val="20"/>
                <w:u w:val="single"/>
              </w:rPr>
              <w:t xml:space="preserve">0.311</w:t>
            </w:r>
          </w:p>
        </w:tc>
        <w:tc>
          <w:tcPr>
            <w:tcW w:w="102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0.006</w:t>
            </w:r>
            <w:r>
              <w:rPr>
                <w:rFonts w:ascii="Times New Roman" w:hAnsi="Times New Roman"/>
                <w:sz w:val="20"/>
              </w:rPr>
              <w:t xml:space="preserve">)) </w:t>
            </w:r>
            <w:r>
              <w:rPr>
                <w:rFonts w:ascii="Times New Roman" w:hAnsi="Times New Roman"/>
                <w:sz w:val="20"/>
                <w:u w:val="single"/>
              </w:rPr>
              <w:t xml:space="preserve">0.088</w:t>
            </w:r>
          </w:p>
        </w:tc>
        <w:tc>
          <w:tcPr>
            <w:tcW w:w="114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0.015</w:t>
            </w:r>
            <w:r>
              <w:rPr>
                <w:rFonts w:ascii="Times New Roman" w:hAnsi="Times New Roman"/>
                <w:sz w:val="20"/>
              </w:rPr>
              <w:t xml:space="preserve">)) </w:t>
            </w:r>
            <w:r>
              <w:rPr>
                <w:rFonts w:ascii="Times New Roman" w:hAnsi="Times New Roman"/>
                <w:sz w:val="20"/>
                <w:u w:val="single"/>
              </w:rPr>
              <w:t xml:space="preserve">0.127</w:t>
            </w:r>
          </w:p>
        </w:tc>
      </w:tr>
      <w:tr>
        <w:tc>
          <w:tcPr>
            <w:tcW w:w="6680" w:type="dxa"/>
            <w:vAlign w:val="top"/>
          </w:tcPr>
          <w:p>
            <w:pPr>
              <w:tabs>
                <w:tab w:val="right" w:leader="dot" w:pos="6668"/>
              </w:tabs>
              <w:spacing w:before="0" w:after="0" w:line="408" w:lineRule="exact"/>
              <w:ind w:left="0" w:right="0" w:firstLine="0"/>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0.017</w:t>
            </w:r>
            <w:r>
              <w:rPr>
                <w:rFonts w:ascii="Times New Roman" w:hAnsi="Times New Roman"/>
                <w:sz w:val="20"/>
              </w:rPr>
              <w:t xml:space="preserve">)) </w:t>
            </w:r>
            <w:r>
              <w:rPr>
                <w:rFonts w:ascii="Times New Roman" w:hAnsi="Times New Roman"/>
                <w:sz w:val="20"/>
                <w:u w:val="single"/>
              </w:rPr>
              <w:t xml:space="preserve">0.104</w:t>
            </w:r>
          </w:p>
        </w:tc>
        <w:tc>
          <w:tcPr>
            <w:tcW w:w="102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0.002</w:t>
            </w:r>
            <w:r>
              <w:rPr>
                <w:rFonts w:ascii="Times New Roman" w:hAnsi="Times New Roman"/>
                <w:sz w:val="20"/>
              </w:rPr>
              <w:t xml:space="preserve">)) </w:t>
            </w:r>
            <w:r>
              <w:rPr>
                <w:rFonts w:ascii="Times New Roman" w:hAnsi="Times New Roman"/>
                <w:sz w:val="20"/>
                <w:u w:val="single"/>
              </w:rPr>
              <w:t xml:space="preserve">0.024</w:t>
            </w:r>
          </w:p>
        </w:tc>
        <w:tc>
          <w:tcPr>
            <w:tcW w:w="114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0.007</w:t>
            </w:r>
            <w:r>
              <w:rPr>
                <w:rFonts w:ascii="Times New Roman" w:hAnsi="Times New Roman"/>
                <w:sz w:val="20"/>
              </w:rPr>
              <w:t xml:space="preserve">)) </w:t>
            </w:r>
            <w:r>
              <w:rPr>
                <w:rFonts w:ascii="Times New Roman" w:hAnsi="Times New Roman"/>
                <w:sz w:val="20"/>
                <w:u w:val="single"/>
              </w:rPr>
              <w:t xml:space="preserve">0.049</w:t>
            </w:r>
          </w:p>
        </w:tc>
      </w:tr>
      <w:tr>
        <w:tc>
          <w:tcPr>
            <w:tcW w:w="6680" w:type="dxa"/>
            <w:vAlign w:val="top"/>
          </w:tcPr>
          <w:p>
            <w:pPr>
              <w:tabs>
                <w:tab w:val="right" w:leader="dot" w:pos="666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0.493</w:t>
            </w:r>
            <w:r>
              <w:rPr>
                <w:rFonts w:ascii="Times New Roman" w:hAnsi="Times New Roman"/>
                <w:sz w:val="20"/>
              </w:rPr>
              <w:t xml:space="preserve">)) </w:t>
            </w:r>
            <w:r>
              <w:rPr>
                <w:rFonts w:ascii="Times New Roman" w:hAnsi="Times New Roman"/>
                <w:sz w:val="20"/>
                <w:u w:val="single"/>
              </w:rPr>
              <w:t xml:space="preserve">0.50</w:t>
            </w:r>
          </w:p>
        </w:tc>
        <w:tc>
          <w:tcPr>
            <w:tcW w:w="10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1.116</w:t>
            </w:r>
            <w:r>
              <w:rPr>
                <w:rFonts w:ascii="Times New Roman" w:hAnsi="Times New Roman"/>
                <w:sz w:val="20"/>
              </w:rPr>
              <w:t xml:space="preserve">)) </w:t>
            </w:r>
            <w:r>
              <w:rPr>
                <w:rFonts w:ascii="Times New Roman" w:hAnsi="Times New Roman"/>
                <w:sz w:val="20"/>
                <w:u w:val="single"/>
              </w:rPr>
              <w:t xml:space="preserve">2.0</w:t>
            </w:r>
          </w:p>
        </w:tc>
        <w:tc>
          <w:tcPr>
            <w:tcW w:w="114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1.909</w:t>
            </w:r>
            <w:r>
              <w:rPr>
                <w:rFonts w:ascii="Times New Roman" w:hAnsi="Times New Roman"/>
                <w:sz w:val="20"/>
              </w:rPr>
              <w:t xml:space="preserve">)) </w:t>
            </w:r>
            <w:r>
              <w:rPr>
                <w:rFonts w:ascii="Times New Roman" w:hAnsi="Times New Roman"/>
                <w:sz w:val="20"/>
                <w:u w:val="single"/>
              </w:rPr>
              <w:t xml:space="preserve">3.5</w:t>
            </w:r>
          </w:p>
        </w:tc>
      </w:tr>
      <w:tr>
        <w:tc>
          <w:tcPr>
            <w:tcW w:w="6680" w:type="dxa"/>
            <w:vAlign w:val="top"/>
          </w:tcPr>
          <w:p>
            <w:pPr>
              <w:tabs>
                <w:tab w:val="right" w:leader="dot" w:pos="666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0.936</w:t>
            </w:r>
            <w:r>
              <w:rPr>
                <w:rFonts w:ascii="Times New Roman" w:hAnsi="Times New Roman"/>
                <w:sz w:val="20"/>
              </w:rPr>
              <w:t xml:space="preserve">))</w:t>
            </w:r>
          </w:p>
          <w:p>
            <w:pPr>
              <w:spacing w:before="0" w:after="0" w:line="408" w:lineRule="exact"/>
              <w:ind w:left="0" w:right="0" w:firstLine="0"/>
              <w:jc w:val="left"/>
            </w:pPr>
            <w:r>
              <w:rPr>
                <w:rFonts w:ascii="Times New Roman" w:hAnsi="Times New Roman"/>
                <w:sz w:val="20"/>
                <w:u w:val="single"/>
              </w:rPr>
              <w:t xml:space="preserve">2.0</w:t>
            </w:r>
          </w:p>
        </w:tc>
        <w:tc>
          <w:tcPr>
            <w:tcW w:w="10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0.700</w:t>
            </w:r>
            <w:r>
              <w:rPr>
                <w:rFonts w:ascii="Times New Roman" w:hAnsi="Times New Roman"/>
                <w:sz w:val="20"/>
              </w:rPr>
              <w:t xml:space="preserve">)) </w:t>
            </w:r>
            <w:r>
              <w:rPr>
                <w:rFonts w:ascii="Times New Roman" w:hAnsi="Times New Roman"/>
                <w:sz w:val="20"/>
                <w:u w:val="single"/>
              </w:rPr>
              <w:t xml:space="preserve">1.0</w:t>
            </w:r>
          </w:p>
        </w:tc>
        <w:tc>
          <w:tcPr>
            <w:tcW w:w="114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0.652</w:t>
            </w:r>
            <w:r>
              <w:rPr>
                <w:rFonts w:ascii="Times New Roman" w:hAnsi="Times New Roman"/>
                <w:sz w:val="20"/>
              </w:rPr>
              <w:t xml:space="preserve">)) </w:t>
            </w:r>
            <w:r>
              <w:rPr>
                <w:rFonts w:ascii="Times New Roman" w:hAnsi="Times New Roman"/>
                <w:sz w:val="20"/>
                <w:u w:val="single"/>
              </w:rPr>
              <w:t xml:space="preserve">1.0</w:t>
            </w:r>
          </w:p>
        </w:tc>
      </w:tr>
      <w:tr>
        <w:tc>
          <w:tcPr>
            <w:tcW w:w="6680" w:type="dxa"/>
            <w:vAlign w:val="top"/>
          </w:tcPr>
          <w:p>
            <w:pPr>
              <w:tabs>
                <w:tab w:val="right" w:leader="dot" w:pos="666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2.012</w:t>
            </w:r>
            <w:r>
              <w:rPr>
                <w:rFonts w:ascii="Times New Roman" w:hAnsi="Times New Roman"/>
                <w:sz w:val="20"/>
              </w:rPr>
              <w:t xml:space="preserve">))</w:t>
            </w:r>
          </w:p>
          <w:p>
            <w:pPr>
              <w:spacing w:before="0" w:after="0" w:line="408" w:lineRule="exact"/>
              <w:ind w:left="0" w:right="0" w:firstLine="0"/>
              <w:jc w:val="left"/>
            </w:pPr>
            <w:r>
              <w:rPr>
                <w:rFonts w:ascii="Times New Roman" w:hAnsi="Times New Roman"/>
                <w:sz w:val="20"/>
                <w:u w:val="single"/>
              </w:rPr>
              <w:t xml:space="preserve">3.0</w:t>
            </w:r>
          </w:p>
        </w:tc>
        <w:tc>
          <w:tcPr>
            <w:tcW w:w="102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2.325</w:t>
            </w:r>
            <w:r>
              <w:rPr>
                <w:rFonts w:ascii="Times New Roman" w:hAnsi="Times New Roman"/>
                <w:sz w:val="20"/>
              </w:rPr>
              <w:t xml:space="preserve">)) </w:t>
            </w:r>
            <w:r>
              <w:rPr>
                <w:rFonts w:ascii="Times New Roman" w:hAnsi="Times New Roman"/>
                <w:sz w:val="20"/>
                <w:u w:val="single"/>
              </w:rPr>
              <w:t xml:space="preserve">3.5</w:t>
            </w:r>
          </w:p>
        </w:tc>
        <w:tc>
          <w:tcPr>
            <w:tcW w:w="114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3.269</w:t>
            </w:r>
            <w:r>
              <w:rPr>
                <w:rFonts w:ascii="Times New Roman" w:hAnsi="Times New Roman"/>
                <w:sz w:val="20"/>
              </w:rPr>
              <w:t xml:space="preserve">)) </w:t>
            </w:r>
            <w:r>
              <w:rPr>
                <w:rFonts w:ascii="Times New Roman" w:hAnsi="Times New Roman"/>
                <w:sz w:val="20"/>
                <w:u w:val="single"/>
              </w:rPr>
              <w:t xml:space="preserve">3.5</w:t>
            </w:r>
          </w:p>
        </w:tc>
      </w:tr>
      <w:tr>
        <w:tc>
          <w:tcPr>
            <w:tcW w:w="6680" w:type="dxa"/>
            <w:vAlign w:val="top"/>
          </w:tcPr>
          <w:p>
            <w:pPr>
              <w:tabs>
                <w:tab w:val="right" w:leader="dot" w:pos="666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1.657</w:t>
            </w:r>
            <w:r>
              <w:rPr>
                <w:rFonts w:ascii="Times New Roman" w:hAnsi="Times New Roman"/>
                <w:sz w:val="20"/>
              </w:rPr>
              <w:t xml:space="preserve">))</w:t>
            </w:r>
          </w:p>
          <w:p>
            <w:pPr>
              <w:spacing w:before="0" w:after="0" w:line="408" w:lineRule="exact"/>
              <w:ind w:left="0" w:right="0" w:firstLine="0"/>
              <w:jc w:val="left"/>
            </w:pPr>
            <w:r>
              <w:rPr>
                <w:rFonts w:ascii="Times New Roman" w:hAnsi="Times New Roman"/>
                <w:sz w:val="20"/>
                <w:u w:val="single"/>
              </w:rPr>
              <w:t xml:space="preserve">1.7</w:t>
            </w:r>
          </w:p>
        </w:tc>
        <w:tc>
          <w:tcPr>
            <w:tcW w:w="102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1.942</w:t>
            </w:r>
            <w:r>
              <w:rPr>
                <w:rFonts w:ascii="Times New Roman" w:hAnsi="Times New Roman"/>
                <w:sz w:val="20"/>
              </w:rPr>
              <w:t xml:space="preserve">)) </w:t>
            </w:r>
            <w:r>
              <w:rPr>
                <w:rFonts w:ascii="Times New Roman" w:hAnsi="Times New Roman"/>
                <w:sz w:val="20"/>
                <w:u w:val="single"/>
              </w:rPr>
              <w:t xml:space="preserve">2.0</w:t>
            </w:r>
          </w:p>
        </w:tc>
        <w:tc>
          <w:tcPr>
            <w:tcW w:w="114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2.965</w:t>
            </w:r>
            <w:r>
              <w:rPr>
                <w:rFonts w:ascii="Times New Roman" w:hAnsi="Times New Roman"/>
                <w:sz w:val="20"/>
              </w:rPr>
              <w:t xml:space="preserve">)) </w:t>
            </w:r>
            <w:r>
              <w:rPr>
                <w:rFonts w:ascii="Times New Roman" w:hAnsi="Times New Roman"/>
                <w:sz w:val="20"/>
                <w:u w:val="single"/>
              </w:rPr>
              <w:t xml:space="preserve">3.0</w:t>
            </w:r>
          </w:p>
        </w:tc>
      </w:tr>
      <w:tr>
        <w:tc>
          <w:tcPr>
            <w:tcW w:w="6680" w:type="dxa"/>
            <w:vAlign w:val="top"/>
          </w:tcPr>
          <w:p>
            <w:pPr>
              <w:tabs>
                <w:tab w:val="right" w:leader="dot" w:pos="666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0.079</w:t>
            </w:r>
            <w:r>
              <w:rPr>
                <w:rFonts w:ascii="Times New Roman" w:hAnsi="Times New Roman"/>
                <w:sz w:val="20"/>
              </w:rPr>
              <w:t xml:space="preserve">))</w:t>
            </w:r>
          </w:p>
          <w:p>
            <w:pPr>
              <w:spacing w:before="0" w:after="0" w:line="408" w:lineRule="exact"/>
              <w:ind w:left="0" w:right="0" w:firstLine="0"/>
              <w:jc w:val="left"/>
            </w:pPr>
            <w:r>
              <w:rPr>
                <w:rFonts w:ascii="Times New Roman" w:hAnsi="Times New Roman"/>
                <w:sz w:val="20"/>
                <w:u w:val="single"/>
              </w:rPr>
              <w:t xml:space="preserve">0.0</w:t>
            </w:r>
          </w:p>
        </w:tc>
        <w:tc>
          <w:tcPr>
            <w:tcW w:w="102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0.092</w:t>
            </w:r>
            <w:r>
              <w:rPr>
                <w:rFonts w:ascii="Times New Roman" w:hAnsi="Times New Roman"/>
                <w:sz w:val="20"/>
              </w:rPr>
              <w:t xml:space="preserve">)) </w:t>
            </w:r>
            <w:r>
              <w:rPr>
                <w:rFonts w:ascii="Times New Roman" w:hAnsi="Times New Roman"/>
                <w:sz w:val="20"/>
                <w:u w:val="single"/>
              </w:rPr>
              <w:t xml:space="preserve">0.7</w:t>
            </w:r>
          </w:p>
        </w:tc>
        <w:tc>
          <w:tcPr>
            <w:tcW w:w="114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0.141</w:t>
            </w:r>
            <w:r>
              <w:rPr>
                <w:rFonts w:ascii="Times New Roman" w:hAnsi="Times New Roman"/>
                <w:sz w:val="20"/>
              </w:rPr>
              <w:t xml:space="preserve">)) </w:t>
            </w:r>
            <w:r>
              <w:rPr>
                <w:rFonts w:ascii="Times New Roman" w:hAnsi="Times New Roman"/>
                <w:sz w:val="20"/>
                <w:u w:val="single"/>
              </w:rPr>
              <w:t xml:space="preserve">1.3</w:t>
            </w:r>
          </w:p>
        </w:tc>
      </w:tr>
      <w:tr>
        <w:tc>
          <w:tcPr>
            <w:tcW w:w="6680" w:type="dxa"/>
            <w:vAlign w:val="top"/>
          </w:tcPr>
          <w:p>
            <w:pPr>
              <w:tabs>
                <w:tab w:val="right" w:leader="dot" w:pos="666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0.00</w:t>
            </w:r>
            <w:r>
              <w:rPr>
                <w:rFonts w:ascii="Times New Roman" w:hAnsi="Times New Roman"/>
                <w:sz w:val="20"/>
              </w:rPr>
              <w:t xml:space="preserve">))</w:t>
            </w:r>
          </w:p>
          <w:p>
            <w:pPr>
              <w:spacing w:before="0" w:after="0" w:line="408" w:lineRule="exact"/>
              <w:ind w:left="0" w:right="0" w:firstLine="0"/>
              <w:jc w:val="left"/>
            </w:pPr>
            <w:r>
              <w:rPr>
                <w:rFonts w:ascii="Times New Roman" w:hAnsi="Times New Roman"/>
                <w:sz w:val="20"/>
                <w:u w:val="single"/>
              </w:rPr>
              <w:t xml:space="preserve">1.0</w:t>
            </w:r>
          </w:p>
        </w:tc>
        <w:tc>
          <w:tcPr>
            <w:tcW w:w="102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0.00</w:t>
            </w:r>
            <w:r>
              <w:rPr>
                <w:rFonts w:ascii="Times New Roman" w:hAnsi="Times New Roman"/>
                <w:sz w:val="20"/>
              </w:rPr>
              <w:t xml:space="preserve">)) </w:t>
            </w:r>
            <w:r>
              <w:rPr>
                <w:rFonts w:ascii="Times New Roman" w:hAnsi="Times New Roman"/>
                <w:sz w:val="20"/>
                <w:u w:val="single"/>
              </w:rPr>
              <w:t xml:space="preserve">1.0</w:t>
            </w:r>
          </w:p>
        </w:tc>
        <w:tc>
          <w:tcPr>
            <w:tcW w:w="114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0.00</w:t>
            </w:r>
            <w:r>
              <w:rPr>
                <w:rFonts w:ascii="Times New Roman" w:hAnsi="Times New Roman"/>
                <w:sz w:val="20"/>
              </w:rPr>
              <w:t xml:space="preserve">)) </w:t>
            </w:r>
            <w:r>
              <w:rPr>
                <w:rFonts w:ascii="Times New Roman" w:hAnsi="Times New Roman"/>
                <w:sz w:val="20"/>
                <w:u w:val="single"/>
              </w:rPr>
              <w:t xml:space="preserve">1.0</w:t>
            </w:r>
          </w:p>
        </w:tc>
      </w:tr>
    </w:tbl>
    <w:p>
      <w:pPr>
        <w:spacing w:before="120" w:after="120" w:line="408" w:lineRule="exact"/>
        <w:ind w:left="0" w:right="0" w:firstLine="576"/>
        <w:jc w:val="left"/>
      </w:pPr>
      <w:r>
        <w:rPr/>
        <w:t xml:space="preserve">(6)(a) The minimum staffing allocation for each school district to provide district-wide support services shall be allocated per one thousand annual average full-time equivalent students in grades K-12 as follows:</w:t>
      </w:r>
    </w:p>
    <w:p>
      <w:pPr>
        <w:spacing w:before="0" w:after="0" w:line="408" w:lineRule="exact"/>
        <w:ind w:left="0" w:right="0" w:firstLine="576"/>
        <w:jc w:val="right"/>
      </w:pPr>
      <w:r>
        <w:rPr/>
        <w:t xml:space="preserve">Staff per 1,000</w:t>
      </w:r>
    </w:p>
    <w:p>
      <w:pPr>
        <w:spacing w:before="0" w:after="0" w:line="408" w:lineRule="exact"/>
        <w:ind w:left="0" w:right="0" w:firstLine="576"/>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w:t>
      </w:r>
      <w:r>
        <w:rPr>
          <w:strike/>
        </w:rPr>
        <w:t xml:space="preserve">0.628</w:t>
      </w:r>
      <w:r>
        <w:rPr/>
        <w:t xml:space="preserve">)) </w:t>
      </w:r>
      <w:r>
        <w:rPr>
          <w:u w:val="single"/>
        </w:rPr>
        <w:t xml:space="preserve">2.8</w:t>
      </w:r>
    </w:p>
    <w:p>
      <w:pPr>
        <w:spacing w:before="0" w:after="0" w:line="408" w:lineRule="exact"/>
        <w:ind w:left="0" w:right="0" w:firstLine="0"/>
        <w:jc w:val="left"/>
        <w:tabs>
          <w:tab w:val="right" w:leader="dot" w:pos="9936"/>
        </w:tabs>
      </w:pPr>
      <w:r>
        <w:rPr/>
        <w:t xml:space="preserve">Facilities, maintenance, and grounds</w:t>
      </w:r>
      <w:r>
        <w:tab/>
      </w:r>
      <w:r>
        <w:rPr/>
        <w:t xml:space="preserve">((</w:t>
      </w:r>
      <w:r>
        <w:rPr>
          <w:strike/>
        </w:rPr>
        <w:t xml:space="preserve">1.813</w:t>
      </w:r>
      <w:r>
        <w:rPr/>
        <w:t xml:space="preserve">)) </w:t>
      </w:r>
      <w:r>
        <w:rPr>
          <w:u w:val="single"/>
        </w:rPr>
        <w:t xml:space="preserve">4.0</w:t>
      </w:r>
    </w:p>
    <w:p>
      <w:pPr>
        <w:spacing w:before="0" w:after="0" w:line="408" w:lineRule="exact"/>
        <w:ind w:left="0" w:right="0" w:firstLine="0"/>
        <w:jc w:val="left"/>
        <w:tabs>
          <w:tab w:val="right" w:leader="dot" w:pos="9936"/>
        </w:tabs>
      </w:pPr>
      <w:r>
        <w:rPr/>
        <w:t xml:space="preserve">Warehouse, laborers, and mechanics</w:t>
      </w:r>
      <w:r>
        <w:tab/>
      </w:r>
      <w:r>
        <w:rPr/>
        <w:t xml:space="preserve">((</w:t>
      </w:r>
      <w:r>
        <w:rPr>
          <w:strike/>
        </w:rPr>
        <w:t xml:space="preserve">0.332</w:t>
      </w:r>
      <w:r>
        <w:rPr/>
        <w:t xml:space="preserve">)) </w:t>
      </w:r>
      <w:r>
        <w:rPr>
          <w:u w:val="single"/>
        </w:rPr>
        <w:t xml:space="preserve">1.9</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12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0" w:after="0" w:line="408" w:lineRule="exact"/>
        <w:ind w:left="0" w:right="0" w:firstLine="576"/>
        <w:jc w:val="right"/>
      </w:pPr>
      <w:r>
        <w:rPr/>
        <w:t xml:space="preserve">Per annual average</w:t>
      </w:r>
    </w:p>
    <w:p>
      <w:pPr>
        <w:spacing w:before="0" w:after="0" w:line="408" w:lineRule="exact"/>
        <w:ind w:left="0" w:right="0" w:firstLine="576"/>
        <w:jc w:val="right"/>
      </w:pPr>
      <w:r>
        <w:rPr/>
        <w:t xml:space="preserve">full-time equivalent student</w:t>
      </w:r>
    </w:p>
    <w:p>
      <w:pPr>
        <w:spacing w:before="0" w:after="0" w:line="408" w:lineRule="exact"/>
        <w:ind w:left="0" w:right="0" w:firstLine="576"/>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12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0" w:after="0" w:line="408" w:lineRule="exact"/>
        <w:ind w:left="0" w:right="0" w:firstLine="576"/>
        <w:jc w:val="right"/>
      </w:pPr>
      <w:r>
        <w:rPr/>
        <w:t xml:space="preserve">Per annual average</w:t>
      </w:r>
    </w:p>
    <w:p>
      <w:pPr>
        <w:spacing w:before="0" w:after="0" w:line="408" w:lineRule="exact"/>
        <w:ind w:left="0" w:right="0" w:firstLine="576"/>
        <w:jc w:val="right"/>
      </w:pPr>
      <w:r>
        <w:rPr/>
        <w:t xml:space="preserve">full-time equivalent student</w:t>
      </w:r>
    </w:p>
    <w:p>
      <w:pPr>
        <w:spacing w:before="0" w:after="0" w:line="408" w:lineRule="exact"/>
        <w:ind w:left="0" w:right="0" w:firstLine="576"/>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(9) In addition to the amounts provided in subsection (8) of this section,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Laboratory science courses for students in grades nine through twelve;</w:t>
      </w:r>
    </w:p>
    <w:p>
      <w:pPr>
        <w:spacing w:before="0" w:after="0" w:line="408" w:lineRule="exact"/>
        <w:ind w:left="0" w:right="0" w:firstLine="576"/>
        <w:jc w:val="left"/>
      </w:pPr>
      <w:r>
        <w:rPr/>
        <w:t xml:space="preserve">(c) Preparatory career and technical education courses for students in grades nine through twelve offered in a high school; and</w:t>
      </w:r>
    </w:p>
    <w:p>
      <w:pPr>
        <w:spacing w:before="0" w:after="0" w:line="408" w:lineRule="exact"/>
        <w:ind w:left="0" w:right="0" w:firstLine="576"/>
        <w:jc w:val="left"/>
      </w:pPr>
      <w:r>
        <w:rPr/>
        <w:t xml:space="preserve">(d)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1.5156 hours per week in extra instruction with a class size of fifteen learning assistance program students per teacher.</w:t>
      </w:r>
    </w:p>
    <w:p>
      <w:pPr>
        <w:spacing w:before="0" w:after="0" w:line="408" w:lineRule="exact"/>
        <w:ind w:left="0" w:right="0" w:firstLine="576"/>
        <w:jc w:val="left"/>
      </w:pPr>
      <w:r>
        <w:rPr/>
        <w:t xml:space="preserve">(b)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one-thousandths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In order to make measurable progress toward implementing the provisions of section 2, chapter ..., Laws of 2015 (section 2 of this act) by September 1, 2017, the legislature shall increase state funding allocations under RCW 28A.150.260 according to the following schedule:</w:t>
      </w:r>
    </w:p>
    <w:p>
      <w:pPr>
        <w:spacing w:before="0" w:after="0" w:line="408" w:lineRule="exact"/>
        <w:ind w:left="0" w:right="0" w:firstLine="576"/>
        <w:jc w:val="left"/>
      </w:pPr>
      <w:r>
        <w:rPr/>
        <w:t xml:space="preserve">(1) For the 2015-2017 biennium, funding allocations shall be no less than fifty percent of the difference between the funding necessary to support the numerical values under RCW 28A.150.260 as of September 1, 2013, and the funding necessary to support the numerical values under section 2, chapter ..., Laws of 2015 (section 2 of this act), with priority for additional funding provided during this biennium for the highest poverty schools and school districts;</w:t>
      </w:r>
    </w:p>
    <w:p>
      <w:pPr>
        <w:spacing w:before="0" w:after="0" w:line="408" w:lineRule="exact"/>
        <w:ind w:left="0" w:right="0" w:firstLine="576"/>
        <w:jc w:val="left"/>
      </w:pPr>
      <w:r>
        <w:rPr/>
        <w:t xml:space="preserve">(2) By the end of the 2017-2019 biennium and thereafter, funding allocations shall be no less than the funding necessary to support the numerical values under section 2, chapter ..., Laws of 2015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lower class sizes for a quality education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September 1, 2018.</w:t>
      </w:r>
    </w:p>
    <w:p/>
    <w:p>
      <w:pPr>
        <w:jc w:val="center"/>
      </w:pPr>
      <w:r>
        <w:rPr>
          <w:b/>
        </w:rPr>
        <w:t>--- END ---</w:t>
      </w:r>
    </w:p>
    <w:sectPr>
      <w:pgNumType w:start="1"/>
      <w:footerReference xmlns:r="http://schemas.openxmlformats.org/officeDocument/2006/relationships" r:id="R0fecaa67d331472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INITIATIVE 1351.SL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26d3aedd5a4282" /><Relationship Type="http://schemas.openxmlformats.org/officeDocument/2006/relationships/footer" Target="/word/footer.xml" Id="R0fecaa67d3314724" /></Relationships>
</file>