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507d98c634be5" /></Relationships>
</file>

<file path=word/document.xml><?xml version="1.0" encoding="utf-8"?>
<w:document xmlns:w="http://schemas.openxmlformats.org/wordprocessingml/2006/main">
  <w:body>
    <w:p>
      <w:r>
        <w:rPr>
          <w:b/>
        </w:rPr>
        <w:r>
          <w:rPr/>
          <w:t xml:space="preserve">1075-S</w:t>
        </w:r>
      </w:r>
      <w:r>
        <w:rPr>
          <w:b/>
        </w:rPr>
        <w:t xml:space="preserve"> </w:t>
        <w:t xml:space="preserve">AMH</w:t>
      </w:r>
      <w:r>
        <w:rPr>
          <w:b/>
        </w:rPr>
        <w:t xml:space="preserve"> </w:t>
        <w:r>
          <w:rPr/>
          <w:t xml:space="preserve">THAR</w:t>
        </w:r>
      </w:r>
      <w:r>
        <w:rPr>
          <w:b/>
        </w:rPr>
        <w:t xml:space="preserve"> </w:t>
        <w:r>
          <w:rPr/>
          <w:t xml:space="preserve">H2962.3</w:t>
        </w:r>
      </w:r>
      <w:r>
        <w:rPr>
          <w:b/>
        </w:rPr>
        <w:t xml:space="preserve"> - NOT FOR FLOOR USE</w:t>
      </w:r>
    </w:p>
    <w:p>
      <w:pPr>
        <w:ind w:left="0" w:right="0" w:firstLine="576"/>
      </w:pPr>
    </w:p>
    <w:p>
      <w:pPr>
        <w:spacing w:before="480" w:after="0" w:line="408" w:lineRule="exact"/>
      </w:pPr>
      <w:r>
        <w:rPr>
          <w:b/>
          <w:u w:val="single"/>
        </w:rPr>
        <w:t xml:space="preserve">SHB 1075</w:t>
      </w:r>
      <w:r>
        <w:t xml:space="preserve"> -</w:t>
      </w:r>
      <w:r>
        <w:t xml:space="preserve"> </w:t>
        <w:t xml:space="preserve">H AMD</w:t>
      </w:r>
      <w:r>
        <w:t xml:space="preserve"> </w:t>
      </w:r>
      <w:r>
        <w:rPr>
          <w:b/>
        </w:rPr>
        <w:t xml:space="preserve">650</w:t>
      </w:r>
    </w:p>
    <w:p>
      <w:pPr>
        <w:spacing w:before="0" w:after="0" w:line="408" w:lineRule="exact"/>
        <w:ind w:left="0" w:right="0" w:firstLine="576"/>
        <w:jc w:val="left"/>
      </w:pPr>
      <w:r>
        <w:rPr/>
        <w:t xml:space="preserve">By Representatives Tharinger, DeBolt</w:t>
      </w:r>
    </w:p>
    <w:p>
      <w:pPr>
        <w:jc w:val="right"/>
      </w:pPr>
      <w:r>
        <w:rPr>
          <w:b/>
        </w:rPr>
        <w:t xml:space="preserve">ADOPTED 06/30/2017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1022, chapter 35, Laws of 2016 sp. sess.</w:t>
      </w:r>
    </w:p>
    <w:p>
      <w:pPr>
        <w:spacing w:before="0" w:after="0" w:line="408" w:lineRule="exact"/>
        <w:ind w:left="0" w:right="0" w:firstLine="576"/>
        <w:jc w:val="left"/>
      </w:pPr>
      <w:r>
        <w:rPr/>
        <w:t xml:space="preserve">(2) The department of enterprise services shall work with the local school districts to use existing grant funds available from the office of the superintendent of public instruction and other sources to expand the current construction project using the current builder to complete as many additional classrooms in that district as the grant funds will allow.</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$44,000,000 of the state building construction account</w:t>
      </w:r>
      <w:r>
        <w:rPr>
          <w:rFonts w:ascii="Times New Roman" w:hAnsi="Times New Roman"/>
        </w:rPr>
        <w:t xml:space="preserve">—</w:t>
      </w:r>
      <w:r>
        <w:rPr/>
        <w:t xml:space="preserve">state appropriation, and $4,370,000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$22,098,000 is provided solely for the following list of housing projects:</w:t>
      </w:r>
    </w:p>
    <w:p>
      <w:pPr>
        <w:spacing w:before="0" w:after="0" w:line="408" w:lineRule="exact"/>
        <w:ind w:left="0" w:right="0" w:firstLine="576"/>
        <w:jc w:val="left"/>
        <w:tabs>
          <w:tab w:val="right" w:leader="dot" w:pos="9936"/>
        </w:tabs>
      </w:pPr>
      <w:r>
        <w:rPr/>
        <w:t xml:space="preserve">(i) Cross-Laminated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The housing projects supported by appropriations in this subsection must meet or exceed the standards for temporary working housing in chapter 70.114A RCW.</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modular housing project.</w:t>
      </w:r>
    </w:p>
    <w:p>
      <w:pPr>
        <w:spacing w:before="0" w:after="0" w:line="408" w:lineRule="exact"/>
        <w:ind w:left="0" w:right="0" w:firstLine="576"/>
        <w:jc w:val="left"/>
      </w:pPr>
      <w:r>
        <w:rPr/>
        <w:t xml:space="preserve">(f)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$4,370,000</w:t>
      </w:r>
    </w:p>
    <w:p>
      <w:pPr>
        <w:tabs>
          <w:tab w:val="right" w:leader="dot" w:pos="9936"/>
        </w:tabs>
        <w:ind w:left="0" w:right="0" w:firstLine="1440"/>
      </w:pPr>
      <w:r>
        <w:rPr/>
        <w:t xml:space="preserve">Subtotal Appropriation</w:t>
      </w:r>
      <w:r>
        <w:tab/>
      </w:r>
      <w:r>
        <w:rPr/>
        <w:t xml:space="preserve">$106,370,000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(8)(a)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(b) If by December 30, 2018, federal funding is not secured, the funds in this subsection (8) shall lapse.</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$101,458,000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Belfair Senior Center Meals on Wheels Kitchen Upgrade</w:t>
      </w:r>
    </w:p>
    <w:p>
      <w:pPr>
        <w:spacing w:before="0" w:after="0" w:line="408" w:lineRule="exact"/>
        <w:ind w:left="0" w:right="0" w:firstLine="1152"/>
        <w:jc w:val="left"/>
        <w:tabs>
          <w:tab w:val="right" w:leader="dot" w:pos="9936"/>
        </w:tabs>
      </w:pPr>
      <w:r>
        <w:rPr/>
        <w:t xml:space="preserve">(Belfair)</w:t>
      </w:r>
      <w:r>
        <w:tab/>
      </w:r>
      <w:r>
        <w:rPr/>
        <w:t xml:space="preserve">$11,000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$618,000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Heritage Park Eastern Washington Butte (Olympia)</w:t>
      </w:r>
      <w:r>
        <w:tab/>
      </w:r>
      <w:r>
        <w:rPr/>
        <w:t xml:space="preserve">$50,000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$2,160,000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$4,035,000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Safe Service Center (Redmond)</w:t>
      </w:r>
      <w:r>
        <w:tab/>
      </w:r>
      <w:r>
        <w:rPr/>
        <w:t xml:space="preserve">$300,000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Spokane Family Justice Center at the YWCA (Spokane)</w:t>
      </w:r>
      <w:r>
        <w:tab/>
      </w:r>
      <w:r>
        <w:rPr/>
        <w:t xml:space="preserve">$100,000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Sultan Public Safety Center (Sultan)</w:t>
      </w:r>
      <w:r>
        <w:tab/>
      </w:r>
      <w:r>
        <w:rPr/>
        <w:t xml:space="preserve">$721,000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tabs>
          <w:tab w:val="right" w:leader="dot" w:pos="9936"/>
        </w:tabs>
      </w:pPr>
      <w:r>
        <w:rPr/>
        <w:t xml:space="preserve">Tollgate Farmhouse Project (North Bend)</w:t>
      </w:r>
      <w:r>
        <w:tab/>
      </w:r>
      <w:r>
        <w:rPr/>
        <w:t xml:space="preserve">$280,000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$1,250,000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$30,000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revolving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development account</w:t>
      </w:r>
      <w:r>
        <w:rPr>
          <w:rFonts w:ascii="Times New Roman" w:hAnsi="Times New Roman"/>
        </w:rPr>
        <w:t xml:space="preserve">—</w:t>
      </w:r>
      <w:r>
        <w:rPr/>
        <w:t xml:space="preserve">state appropriation in this section is provided solely for early learning facility grants and loans specified in sections 3 through 11, chapter . . . (Engrossed Second Substitute House Bill No. 1777), Laws of 2017 to provide state assistance for designing, constructing,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$10,988,000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$750,000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2017,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This facility must house a kitchen, commissary, medical supply, and pharmacy operations to improve operational efficiency at western state hospital and at the special commitment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$7,149,000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in perpetuity.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pipeline project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15,800,000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$100,940,000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$450,000 of the appropriation is provided solely to retain a qualified consultant or consultants to develop technical water resources studies needed to support negotiation of a basin-wide water management solution in Whatcom county that includes the following elements:</w:t>
      </w:r>
    </w:p>
    <w:p>
      <w:pPr>
        <w:spacing w:before="0" w:after="0" w:line="408" w:lineRule="exact"/>
        <w:ind w:left="0" w:right="0" w:firstLine="576"/>
        <w:jc w:val="left"/>
      </w:pPr>
      <w:r>
        <w:rPr/>
        <w:t xml:space="preserve">(i) Instream flow;</w:t>
      </w:r>
    </w:p>
    <w:p>
      <w:pPr>
        <w:spacing w:before="0" w:after="0" w:line="408" w:lineRule="exact"/>
        <w:ind w:left="0" w:right="0" w:firstLine="576"/>
        <w:jc w:val="left"/>
      </w:pPr>
      <w:r>
        <w:rPr/>
        <w:t xml:space="preserve">(ii) Water quality;</w:t>
      </w:r>
    </w:p>
    <w:p>
      <w:pPr>
        <w:spacing w:before="0" w:after="0" w:line="408" w:lineRule="exact"/>
        <w:ind w:left="0" w:right="0" w:firstLine="576"/>
        <w:jc w:val="left"/>
      </w:pPr>
      <w:r>
        <w:rPr/>
        <w:t xml:space="preserve">(iii) Habitat restoration;</w:t>
      </w:r>
    </w:p>
    <w:p>
      <w:pPr>
        <w:spacing w:before="0" w:after="0" w:line="408" w:lineRule="exact"/>
        <w:ind w:left="0" w:right="0" w:firstLine="576"/>
        <w:jc w:val="left"/>
      </w:pPr>
      <w:r>
        <w:rPr/>
        <w:t xml:space="preserve">(iv) Water supply;</w:t>
      </w:r>
    </w:p>
    <w:p>
      <w:pPr>
        <w:spacing w:before="0" w:after="0" w:line="408" w:lineRule="exact"/>
        <w:ind w:left="0" w:right="0" w:firstLine="576"/>
        <w:jc w:val="left"/>
      </w:pPr>
      <w:r>
        <w:rPr/>
        <w:t xml:space="preserve">(v) Accountability.</w:t>
      </w:r>
    </w:p>
    <w:p>
      <w:pPr>
        <w:spacing w:before="0" w:after="0" w:line="408" w:lineRule="exact"/>
        <w:ind w:left="0" w:right="0" w:firstLine="576"/>
        <w:jc w:val="left"/>
      </w:pPr>
      <w:r>
        <w:rPr/>
        <w:t xml:space="preserve">(b) The amounts provided in this subsection must be used to accomplish three primary tasks related to the instream flow and water supply elements. Of the amounts provided in this subsection:</w:t>
      </w:r>
    </w:p>
    <w:p>
      <w:pPr>
        <w:spacing w:before="0" w:after="0" w:line="408" w:lineRule="exact"/>
        <w:ind w:left="0" w:right="0" w:firstLine="576"/>
        <w:jc w:val="left"/>
      </w:pPr>
      <w:r>
        <w:rPr/>
        <w:t xml:space="preserve">(i) $50,000 is provided solely for an analysis of existing water rights, including but not limited to water rights relinquishment and mitigated water rights;</w:t>
      </w:r>
    </w:p>
    <w:p>
      <w:pPr>
        <w:spacing w:before="0" w:after="0" w:line="408" w:lineRule="exact"/>
        <w:ind w:left="0" w:right="0" w:firstLine="576"/>
        <w:jc w:val="left"/>
      </w:pPr>
      <w:r>
        <w:rPr/>
        <w:t xml:space="preserve">(ii) $100,000 is provided solely for an analysis of water conservation and efficiency measures to be utilized by out-of-stream water users; and</w:t>
      </w:r>
    </w:p>
    <w:p>
      <w:pPr>
        <w:spacing w:before="0" w:after="0" w:line="408" w:lineRule="exact"/>
        <w:ind w:left="0" w:right="0" w:firstLine="576"/>
        <w:jc w:val="left"/>
      </w:pPr>
      <w:r>
        <w:rPr/>
        <w:t xml:space="preserve">(iii) $300,000 is provided solely for an analysis of potential new or modified water infrastructure to supply water for out-of-stream and instream uses, including but not limited to storage, pipelines, aquifer recharge, reclaimed water, and other projects.</w:t>
      </w:r>
    </w:p>
    <w:p>
      <w:pPr>
        <w:spacing w:before="0" w:after="0" w:line="408" w:lineRule="exact"/>
        <w:ind w:left="0" w:right="0" w:firstLine="576"/>
        <w:jc w:val="left"/>
      </w:pPr>
      <w:r>
        <w:rPr/>
        <w:t xml:space="preserve">(c) The resulting planning-level analysis are subject to review through a series of public workshops, where workshop participants must develop project screening criteria and select alternatives for further evaluation.</w:t>
      </w:r>
    </w:p>
    <w:p>
      <w:pPr>
        <w:spacing w:before="0" w:after="0" w:line="408" w:lineRule="exact"/>
        <w:ind w:left="0" w:right="0" w:firstLine="576"/>
        <w:jc w:val="left"/>
      </w:pPr>
      <w:r>
        <w:rPr/>
        <w:t xml:space="preserve">(d) Overall, this work must be designed to meet water resource needs for both instream and out-of-stream needs, must be capable of supporting future water resource agreements protective of senior water rights holders, and must be methodical and transparent.</w:t>
      </w:r>
    </w:p>
    <w:p>
      <w:pPr>
        <w:spacing w:before="0" w:after="0" w:line="408" w:lineRule="exact"/>
        <w:ind w:left="0" w:right="0" w:firstLine="576"/>
        <w:jc w:val="left"/>
      </w:pPr>
      <w:r>
        <w:rPr/>
        <w:t xml:space="preserve">(e) The department must establish a steering committee to develop the scope of work for the various analyses, which must include major water resource stakeholders and federally recognized tribes.</w:t>
      </w:r>
    </w:p>
    <w:p>
      <w:pPr>
        <w:spacing w:before="0" w:after="0" w:line="408" w:lineRule="exact"/>
        <w:ind w:left="0" w:right="0" w:firstLine="576"/>
        <w:jc w:val="left"/>
      </w:pPr>
      <w:r>
        <w:rPr/>
        <w:t xml:space="preserve">(2) $2,500,000 of the appropriation is provided solely for Dungeness off-channel reservoir.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2017-6H, developed June 30,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Pursuant to chapter 248, Laws of 2017 (E2SHB 1711) (forest health treatments) and chapter 95, Laws of 2017 (2SSB 5546) (forest health assessment and treatment framework), $450,000 of the appropriation is provided solely for planning and analysis to support a prioritized list of forest health treatments, and that is the maximum amount the department may expend for this purpose.</w:t>
      </w:r>
    </w:p>
    <w:p>
      <w:pPr>
        <w:spacing w:before="0" w:after="0" w:line="408" w:lineRule="exact"/>
        <w:ind w:left="0" w:right="0" w:firstLine="576"/>
        <w:jc w:val="left"/>
      </w:pPr>
      <w:r>
        <w:rPr/>
        <w:t xml:space="preserve">(2) $6,400,000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(3) $453,000 is provided solely to implement controlled burning treatments on one thousand acres of state trust land in southeast Stevens and northwest Spokane county.</w:t>
      </w:r>
    </w:p>
    <w:p>
      <w:pPr>
        <w:spacing w:before="0" w:after="0" w:line="408" w:lineRule="exact"/>
        <w:ind w:left="0" w:right="0" w:firstLine="576"/>
        <w:jc w:val="left"/>
      </w:pPr>
      <w:r>
        <w:rPr/>
        <w:t xml:space="preserve">(4)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(5) $2,500,000 is provided solely for the "good neighbor" cross-boundary competitive grants for projects on federal land that support existing and planned state and local hazard reduction investments, of which $1,600,000 is provided solely for the north central Washington forest health collaborative, and $650,000 is provided solely for the Tapash sustainable forests collaborative.</w:t>
      </w:r>
    </w:p>
    <w:p>
      <w:pPr>
        <w:spacing w:before="0" w:after="0" w:line="408" w:lineRule="exact"/>
        <w:ind w:left="0" w:right="0" w:firstLine="576"/>
        <w:jc w:val="left"/>
      </w:pPr>
      <w:r>
        <w:rPr/>
        <w:t xml:space="preserve">(6) $1,700,000 is provided solely for state trust land reforestation in wildfire-damaged areas.</w:t>
      </w:r>
    </w:p>
    <w:p>
      <w:pPr>
        <w:spacing w:before="0" w:after="0" w:line="408" w:lineRule="exact"/>
        <w:ind w:left="0" w:right="0" w:firstLine="576"/>
        <w:jc w:val="left"/>
      </w:pPr>
      <w:r>
        <w:rPr/>
        <w:t xml:space="preserve">(7) $997,000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7029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$204,679,000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$252,269,000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$26,900,000</w:t>
      </w:r>
    </w:p>
    <w:p>
      <w:pPr>
        <w:tabs>
          <w:tab w:val="right" w:leader="dot" w:pos="9936"/>
        </w:tabs>
        <w:ind w:left="0" w:right="0" w:firstLine="1440"/>
      </w:pPr>
      <w:r>
        <w:rPr/>
        <w:t xml:space="preserve">TOTAL</w:t>
      </w:r>
      <w:r>
        <w:tab/>
      </w:r>
      <w:r>
        <w:rPr/>
        <w:t xml:space="preserve">$27,300,000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$663,821,000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$269,030,000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$937,410,000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$6,074,266,000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(1) The appropriation in this section is subject to the following conditions and limitations: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ind w:left="0" w:right="0" w:firstLine="576"/>
        <w:jc w:val="left"/>
      </w:pPr>
      <w:r>
        <w:rPr/>
        <w:t xml:space="preserve">(2)(a) The remaining portion of the appropriation is provided solely for implementation of Substitute Senate Bill No. 5453 (school construction assistance grants for small, rural school districts).</w:t>
      </w:r>
    </w:p>
    <w:p>
      <w:pPr>
        <w:spacing w:before="0" w:after="0" w:line="408" w:lineRule="exact"/>
        <w:ind w:left="0" w:right="0" w:firstLine="576"/>
        <w:jc w:val="left"/>
      </w:pPr>
      <w:r>
        <w:rPr/>
        <w:t xml:space="preserve">(b) If the bill referenced in (a) of this subsection is not enacted by June 30, 2017, the amount in this subsection (2) is provided solely for the office of the superintendent of public instruction to develop a ranked prioritized list of small, rural school districts and submit such list to the appropriate committees of the legislature by January 1, 2018. The list must prioritize projects to:</w:t>
      </w:r>
    </w:p>
    <w:p>
      <w:pPr>
        <w:spacing w:before="0" w:after="0" w:line="408" w:lineRule="exact"/>
        <w:ind w:left="0" w:right="0" w:firstLine="576"/>
        <w:jc w:val="left"/>
      </w:pPr>
      <w:r>
        <w:rPr/>
        <w:t xml:space="preserve">(i) Achieve the greatest improvement of school facilities;</w:t>
      </w:r>
    </w:p>
    <w:p>
      <w:pPr>
        <w:spacing w:before="0" w:after="0" w:line="408" w:lineRule="exact"/>
        <w:ind w:left="0" w:right="0" w:firstLine="576"/>
        <w:jc w:val="left"/>
      </w:pPr>
      <w:r>
        <w:rPr/>
        <w:t xml:space="preserve">(ii) Districts with the most limited financial capacity; and</w:t>
      </w:r>
    </w:p>
    <w:p>
      <w:pPr>
        <w:spacing w:before="0" w:after="0" w:line="408" w:lineRule="exact"/>
        <w:ind w:left="0" w:right="0" w:firstLine="576"/>
        <w:jc w:val="left"/>
      </w:pPr>
      <w:r>
        <w:rPr/>
        <w:t xml:space="preserve">(iii) Projects that are likely to improve student health, safety, and academic performance for the largest number of students for the amount of state grant support.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$13,650,000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$13,750,000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$23,400,000</w:t>
      </w:r>
      <w:r>
        <w:t>))</w:t>
      </w:r>
    </w:p>
    <w:p>
      <w:pPr>
        <w:spacing w:before="0" w:after="0" w:line="408" w:lineRule="exact"/>
        <w:ind w:left="0" w:right="0" w:firstLine="0"/>
        <w:jc w:val="left"/>
        <w:tabs>
          <w:tab w:val="right" w:leader="none" w:pos="9936"/>
        </w:tabs>
      </w:pPr>
      <w:r>
        <w:tab/>
      </w:r>
      <w:r>
        <w:rPr>
          <w:u w:val="single"/>
        </w:rPr>
        <w:t xml:space="preserve">$26,650,000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0"/>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0"/>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tabs>
          <w:tab w:val="right" w:leader="none" w:pos="9936"/>
        </w:tabs>
        <w:ind w:left="0" w:right="0" w:firstLine="1440"/>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3026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recreation and conservation office may retain up to four percent of these appropriations to administer the grants.</w:t>
      </w:r>
    </w:p>
    <w:p>
      <w:pPr>
        <w:spacing w:before="0" w:after="0" w:line="408" w:lineRule="exact"/>
        <w:ind w:left="0" w:right="0" w:firstLine="576"/>
        <w:jc w:val="left"/>
      </w:pPr>
      <w:r>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t xml:space="preserve">(3) Matching resources are not required for the Concrete water spray park project.</w:t>
      </w:r>
    </w:p>
    <w:p>
      <w:pPr>
        <w:spacing w:before="0" w:after="0" w:line="408" w:lineRule="exact"/>
        <w:ind w:left="0" w:right="0" w:firstLine="576"/>
        <w:jc w:val="left"/>
      </w:pPr>
      <w:r>
        <w:rPr>
          <w:u w:val="single"/>
        </w:rPr>
        <w:t xml:space="preserve">(4) A maximum of $1,100,000 of unused funds in this appropriation may be used for the willows road regional trail connection, without requiring matching resources.</w:t>
      </w:r>
    </w:p>
    <w:p>
      <w:pPr>
        <w:spacing w:before="0" w:after="0" w:line="408" w:lineRule="exact"/>
        <w:ind w:left="0" w:right="0" w:firstLine="576"/>
        <w:jc w:val="left"/>
      </w:pPr>
      <w:r>
        <w:rPr>
          <w:u w:val="single"/>
        </w:rPr>
        <w:t xml:space="preserve">(5) A maximum of $500,000 of unused funds in this 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$317,713,000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$232,673,000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$23,000,000</w:t>
      </w:r>
      <w:r>
        <w:t>))</w:t>
      </w:r>
      <w:r>
        <w:rPr/>
        <w:t xml:space="preserve"> </w:t>
      </w:r>
      <w:r>
        <w:rPr>
          <w:u w:val="single"/>
        </w:rPr>
        <w:t xml:space="preserve">$13,000,000</w:t>
      </w:r>
      <w:r>
        <w:rPr/>
        <w:t xml:space="preserve">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2019, 2020, and 2021.</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 two million four hundred eighty-six thousand dollars for the 2017-2019 biennium, two hundred sixty-eight million six thousand dollars for the 2019-2021 biennium, and three hundred seventy-four million seven hundred eight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$17,625,000 for</w:t>
      </w:r>
    </w:p>
    <w:p>
      <w:pPr>
        <w:spacing w:before="0" w:after="0" w:line="408" w:lineRule="exact"/>
        <w:ind w:left="0" w:right="0" w:firstLine="0"/>
        <w:jc w:val="left"/>
        <w:tabs>
          <w:tab w:val="right" w:leader="dot" w:pos="9936"/>
        </w:tabs>
      </w:pPr>
      <w:r>
        <w:rPr/>
        <w:t xml:space="preserve">fiscal year 2018 and $17,625,000 for fiscal year 2019</w:t>
      </w:r>
      <w:r>
        <w:tab/>
      </w:r>
      <w:r>
        <w:rPr/>
        <w:t xml:space="preserve">$35,250,000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$10,500,000 in</w:t>
      </w:r>
    </w:p>
    <w:p>
      <w:pPr>
        <w:spacing w:before="0" w:after="0" w:line="408" w:lineRule="exact"/>
        <w:ind w:left="0" w:right="0" w:firstLine="0"/>
        <w:jc w:val="left"/>
        <w:tabs>
          <w:tab w:val="right" w:leader="dot" w:pos="9936"/>
        </w:tabs>
      </w:pPr>
      <w:r>
        <w:rPr/>
        <w:t xml:space="preserve">fiscal year 2018 and $10,500,000 in fiscal year 2019</w:t>
      </w:r>
      <w:r>
        <w:tab/>
      </w:r>
      <w:r>
        <w:rPr/>
        <w:t xml:space="preserve">$21,000,000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must sell the property known as Tacoma Rhodes complex for at least fair market value. The property consists of the Broadway building, the market building, and the parking garage. The department must use the surplus property operations requirements for the sale process in RCW 43.17.400. The department must retain federal obligations and may retain appraisal costs, debt service, and closing costs. The remaining net </w:t>
      </w:r>
      <w:r>
        <w:rPr/>
        <w:t xml:space="preserve">proceeds from the sale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4004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includes $2.73 billion in bond appropriation, $1.45 billion in other funds; appropriations total $4.18 billion. The 2017 supplemental increases bond appropriations by $4.9 million and reduces other funds by $103.7 million. Detailed information on the striking amendment can be found at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e5b1ddd7547e9" /></Relationships>
</file>